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/>
      </w:pPr>
      <w:r>
        <w:rPr>
          <w:rStyle w:val="Strong"/>
          <w:rFonts w:eastAsia="Times New Roman" w:cs="Times New Roman" w:ascii="Times New Roman" w:hAnsi="Times New Roman"/>
          <w:color w:val="000000"/>
          <w:kern w:val="0"/>
          <w:sz w:val="24"/>
          <w:szCs w:val="24"/>
          <w:lang w:val="ru-RU" w:eastAsia="ru-RU" w:bidi="ar-SA"/>
        </w:rPr>
        <w:t>«Индикаторы риска: действие перечня продлено до конца 2026 года»</w:t>
      </w:r>
    </w:p>
    <w:p>
      <w:pPr>
        <w:pStyle w:val="Normal"/>
        <w:spacing w:lineRule="auto" w:line="27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Заместитель руководителя Государственной инспекции труда в Иркутской области                       Р.В. Радушевский, напомнил, что в соответствии с Приказом Минтруда России от 19.11.2025                       № 658н «О внесении изменения в абзац третий приказа Министерства труда и социальной защиты Российской Федерации от 30 ноября 2021 г. № 838н «Об утверждении перечня индикаторов риска нарушения обязательных требований при осуществлении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права», продлены индикаторы риска, используемые Рострудом для выявления нарушений обязательных требований до 31.12.2026 года.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Внеплановые контрольные (надзорные) мероприятия могут быть инициированы при срабатывании следующих индикаторов рисков: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1. Банкротство работодателя - подача в суд заявления о банкротстве при численности работников ≥ 50 человек (включая совместителей).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2. Подозрительная спецоценка условий труда - проведение 2+ измерений одним лицом/прибором у разных работодателей в разных регионах за сутки (без выявления вредных/опасных условий).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3. Рост лёгких несчастных случаев на производстве. Зависит от численности работников: до 50 чел. - рост на 2+ случая; 50–100 чел. - на 3+; 100–500 чел. - на 4+; 500–1000 чел. - на 5+; 1000–5000 чел. - на 6+; 5000–10 000 чел. - на 7+; 10 000 чел. - на 8+ случаев.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4. Нарушения в спецоценке (СОУТ) - отсутствие данных в ФГИС СОУТ спустя 12 мес. после регистрации юрлица/ИП (при 50+ застрахованных); - данные СОУТ старше 5 лет при наличии вредных/опасных рабочих мест.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5. Зарплата ниже МРОТ - выплата ниже МРОТ 60+ работникам (≥ 50 % от штата) за каждый месяц квартала.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6. Резкое сокращение ФОТ - снижение фонда оплаты труда на 80+ % за квартал (при численности ≥ 15 чел. и без сокращения штата).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7. Убытки в трудоустройстве за рубежом - убыток у компаний, трудоустраивающих россиян на иностранные суда (по данным ГИР БО).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8. Подозрительное взаимодействие с самозанятыми - сотрудничество с &gt; 35 самозанятыми (доход &gt; 35 000 руб./мес., стаж &gt; 3 мес., доля дохода от организации ≥ 90 %).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9. Снижение зарплат в медорганизациях - падение зарплат на 25+ % у медработников (врачи, средний/младший персонал) в квартале (год к году).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Указанные индикаторы риска нарушения обязательных требований инспекторы ГИТ будут применять в течение всего 2026 года.</w:t>
      </w:r>
    </w:p>
    <w:p>
      <w:pPr>
        <w:pStyle w:val="Normal"/>
        <w:spacing w:lineRule="auto" w:line="276"/>
        <w:ind w:firstLine="709"/>
        <w:jc w:val="both"/>
        <w:rPr>
          <w:rStyle w:val="Strong"/>
          <w:rFonts w:ascii="Times New Roman" w:hAnsi="Times New Roman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ascii="Times New Roman" w:hAnsi="Times New Roman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ascii="Times New Roman" w:hAnsi="Times New Roman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r>
      <w:bookmarkStart w:id="0" w:name="_GoBack"/>
      <w:bookmarkStart w:id="1" w:name="_GoBack"/>
      <w:bookmarkEnd w:id="1"/>
    </w:p>
    <w:sectPr>
      <w:headerReference w:type="default" r:id="rId2"/>
      <w:footerReference w:type="default" r:id="rId3"/>
      <w:type w:val="nextPage"/>
      <w:pgSz w:w="11906" w:h="16838"/>
      <w:pgMar w:left="964" w:right="567" w:gutter="0" w:header="0" w:top="567" w:footer="301" w:bottom="567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ylfaen">
    <w:charset w:val="01"/>
    <w:family w:val="roman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89" w:type="dxa"/>
      <w:jc w:val="left"/>
      <w:tblInd w:w="109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10352"/>
      <w:gridCol w:w="236"/>
    </w:tblGrid>
    <w:tr>
      <w:trPr>
        <w:trHeight w:val="499" w:hRule="atLeast"/>
      </w:trPr>
      <w:tc>
        <w:tcPr>
          <w:tcW w:w="10352" w:type="dxa"/>
          <w:tcBorders/>
        </w:tcPr>
        <w:tbl>
          <w:tblPr>
            <w:tblW w:w="10158" w:type="dxa"/>
            <w:jc w:val="left"/>
            <w:tblInd w:w="2808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  <w:tblLook w:val="04a0" w:noHBand="0" w:noVBand="1" w:firstColumn="1" w:lastRow="0" w:lastColumn="0" w:firstRow="1"/>
          </w:tblPr>
          <w:tblGrid>
            <w:gridCol w:w="5080"/>
            <w:gridCol w:w="5077"/>
          </w:tblGrid>
          <w:tr>
            <w:trPr>
              <w:trHeight w:val="246" w:hRule="atLeast"/>
            </w:trPr>
            <w:tc>
              <w:tcPr>
                <w:tcW w:w="5080" w:type="dxa"/>
                <w:tcBorders/>
              </w:tcPr>
              <w:p>
                <w:pPr>
                  <w:pStyle w:val="Style29"/>
                  <w:widowControl w:val="false"/>
                  <w:rPr/>
                </w:pPr>
                <w:r>
                  <w:rPr/>
                </w:r>
              </w:p>
            </w:tc>
            <w:tc>
              <w:tcPr>
                <w:tcW w:w="5077" w:type="dxa"/>
                <w:tcBorders/>
              </w:tcPr>
              <w:p>
                <w:pPr>
                  <w:pStyle w:val="Style29"/>
                  <w:widowControl w:val="false"/>
                  <w:jc w:val="right"/>
                  <w:rPr/>
                </w:pPr>
                <w:r>
                  <w:rPr/>
                </w:r>
                <w:bookmarkStart w:id="2" w:name="DOSSIER"/>
                <w:bookmarkStart w:id="3" w:name="DOSSIER"/>
                <w:bookmarkEnd w:id="3"/>
              </w:p>
            </w:tc>
          </w:tr>
          <w:tr>
            <w:trPr>
              <w:trHeight w:val="260" w:hRule="atLeast"/>
            </w:trPr>
            <w:tc>
              <w:tcPr>
                <w:tcW w:w="5080" w:type="dxa"/>
                <w:tcBorders/>
              </w:tcPr>
              <w:p>
                <w:pPr>
                  <w:pStyle w:val="Style29"/>
                  <w:widowControl w:val="false"/>
                  <w:ind w:firstLine="720"/>
                  <w:rPr/>
                </w:pPr>
                <w:r>
                  <w:rPr/>
                </w:r>
                <w:bookmarkStart w:id="4" w:name="EXECUTOR_TEL"/>
                <w:bookmarkStart w:id="5" w:name="EXECUTOR_TEL"/>
                <w:bookmarkEnd w:id="5"/>
              </w:p>
            </w:tc>
            <w:tc>
              <w:tcPr>
                <w:tcW w:w="5077" w:type="dxa"/>
                <w:tcBorders/>
              </w:tcPr>
              <w:p>
                <w:pPr>
                  <w:pStyle w:val="Style29"/>
                  <w:widowControl w:val="false"/>
                  <w:rPr/>
                </w:pPr>
                <w:r>
                  <w:rPr/>
                </w:r>
              </w:p>
            </w:tc>
          </w:tr>
        </w:tbl>
        <w:p>
          <w:pPr>
            <w:pStyle w:val="Style29"/>
            <w:widowControl w:val="false"/>
            <w:rPr/>
          </w:pPr>
          <w:r>
            <w:rPr/>
          </w:r>
        </w:p>
      </w:tc>
      <w:tc>
        <w:tcPr>
          <w:tcW w:w="236" w:type="dxa"/>
          <w:tcBorders/>
        </w:tcPr>
        <w:p>
          <w:pPr>
            <w:pStyle w:val="Style29"/>
            <w:widowControl w:val="false"/>
            <w:jc w:val="right"/>
            <w:rPr/>
          </w:pPr>
          <w:r>
            <w:rPr/>
          </w:r>
        </w:p>
      </w:tc>
    </w:tr>
  </w:tbl>
  <w:p>
    <w:pPr>
      <w:pStyle w:val="Style2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>
        <w:b/>
      </w:rPr>
    </w:pPr>
    <w:r>
      <w:rPr>
        <w:b/>
      </w:rPr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0288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602880"/>
    <w:pPr>
      <w:keepNext w:val="true"/>
      <w:ind w:left="-108" w:right="-108" w:hanging="0"/>
      <w:outlineLvl w:val="0"/>
    </w:pPr>
    <w:rPr>
      <w:sz w:val="24"/>
    </w:rPr>
  </w:style>
  <w:style w:type="paragraph" w:styleId="2">
    <w:name w:val="Heading 2"/>
    <w:basedOn w:val="Normal"/>
    <w:next w:val="Normal"/>
    <w:qFormat/>
    <w:rsid w:val="00602880"/>
    <w:pPr>
      <w:keepNext w:val="true"/>
      <w:ind w:left="-108" w:right="-108" w:hanging="0"/>
      <w:jc w:val="center"/>
      <w:outlineLvl w:val="1"/>
    </w:pPr>
    <w:rPr>
      <w:sz w:val="24"/>
    </w:rPr>
  </w:style>
  <w:style w:type="paragraph" w:styleId="3">
    <w:name w:val="Heading 3"/>
    <w:basedOn w:val="Style20"/>
    <w:next w:val="Style21"/>
    <w:qFormat/>
    <w:pPr>
      <w:spacing w:before="140" w:after="120"/>
      <w:outlineLvl w:val="2"/>
    </w:pPr>
    <w:rPr>
      <w:rFonts w:ascii="Liberation Serif" w:hAnsi="Liberation Serif" w:eastAsia="Tahoma" w:cs="Tahoma"/>
      <w:b/>
      <w:bCs/>
      <w:sz w:val="28"/>
      <w:szCs w:val="28"/>
    </w:rPr>
  </w:style>
  <w:style w:type="paragraph" w:styleId="4">
    <w:name w:val="Heading 4"/>
    <w:basedOn w:val="Style20"/>
    <w:next w:val="Style21"/>
    <w:qFormat/>
    <w:pPr>
      <w:spacing w:before="120" w:after="120"/>
      <w:outlineLvl w:val="3"/>
    </w:pPr>
    <w:rPr>
      <w:rFonts w:ascii="Liberation Serif" w:hAnsi="Liberation Serif" w:eastAsia="Tahoma" w:cs="Tahoma"/>
      <w:b/>
      <w:bCs/>
      <w:sz w:val="24"/>
      <w:szCs w:val="24"/>
    </w:rPr>
  </w:style>
  <w:style w:type="paragraph" w:styleId="5">
    <w:name w:val="Heading 5"/>
    <w:basedOn w:val="Normal"/>
    <w:next w:val="Normal"/>
    <w:qFormat/>
    <w:rsid w:val="00602880"/>
    <w:pPr>
      <w:keepNext w:val="true"/>
      <w:ind w:left="-108" w:right="-108" w:firstLine="108"/>
      <w:jc w:val="center"/>
      <w:outlineLvl w:val="4"/>
    </w:pPr>
    <w:rPr>
      <w:b/>
      <w:sz w:val="26"/>
    </w:rPr>
  </w:style>
  <w:style w:type="paragraph" w:styleId="9">
    <w:name w:val="Heading 9"/>
    <w:basedOn w:val="Normal"/>
    <w:next w:val="Normal"/>
    <w:qFormat/>
    <w:rsid w:val="00602880"/>
    <w:pPr>
      <w:keepNext w:val="true"/>
      <w:ind w:left="-108" w:right="-108" w:hanging="0"/>
      <w:jc w:val="center"/>
      <w:outlineLvl w:val="8"/>
    </w:pPr>
    <w:rPr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rsid w:val="00602880"/>
    <w:rPr>
      <w:color w:val="0000FF"/>
      <w:u w:val="single"/>
    </w:rPr>
  </w:style>
  <w:style w:type="character" w:styleId="Style8">
    <w:name w:val="FollowedHyperlink"/>
    <w:semiHidden/>
    <w:rsid w:val="00602880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9c5f7b"/>
    <w:rPr/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9c5f7b"/>
    <w:rPr/>
  </w:style>
  <w:style w:type="character" w:styleId="Style10" w:customStyle="1">
    <w:name w:val="Символ концевой сноски"/>
    <w:uiPriority w:val="99"/>
    <w:semiHidden/>
    <w:unhideWhenUsed/>
    <w:qFormat/>
    <w:rsid w:val="009c5f7b"/>
    <w:rPr>
      <w:vertAlign w:val="superscript"/>
    </w:rPr>
  </w:style>
  <w:style w:type="character" w:styleId="Style11">
    <w:name w:val="Endnote Reference"/>
    <w:rPr>
      <w:vertAlign w:val="superscript"/>
    </w:rPr>
  </w:style>
  <w:style w:type="character" w:styleId="Style12" w:customStyle="1">
    <w:name w:val="Основной текст с отступом Знак"/>
    <w:basedOn w:val="DefaultParagraphFont"/>
    <w:qFormat/>
    <w:rsid w:val="0072634b"/>
    <w:rPr>
      <w:sz w:val="26"/>
    </w:rPr>
  </w:style>
  <w:style w:type="character" w:styleId="Blk" w:customStyle="1">
    <w:name w:val="blk"/>
    <w:basedOn w:val="DefaultParagraphFont"/>
    <w:qFormat/>
    <w:rsid w:val="00ea34a7"/>
    <w:rPr/>
  </w:style>
  <w:style w:type="character" w:styleId="Style13" w:customStyle="1">
    <w:name w:val="Основной текст Знак"/>
    <w:basedOn w:val="DefaultParagraphFont"/>
    <w:qFormat/>
    <w:rsid w:val="00ea34a7"/>
    <w:rPr>
      <w:sz w:val="24"/>
    </w:rPr>
  </w:style>
  <w:style w:type="character" w:styleId="Style14" w:customStyle="1">
    <w:name w:val="Цветовое выделение"/>
    <w:qFormat/>
    <w:rsid w:val="0074223f"/>
    <w:rPr>
      <w:b/>
      <w:bCs/>
      <w:color w:val="000080"/>
    </w:rPr>
  </w:style>
  <w:style w:type="character" w:styleId="11" w:customStyle="1">
    <w:name w:val="Основной текст Знак1"/>
    <w:basedOn w:val="DefaultParagraphFont"/>
    <w:uiPriority w:val="99"/>
    <w:qFormat/>
    <w:rsid w:val="005b7823"/>
    <w:rPr>
      <w:rFonts w:ascii="Sylfaen" w:hAnsi="Sylfaen" w:cs="Sylfaen"/>
      <w:sz w:val="21"/>
      <w:szCs w:val="21"/>
      <w:shd w:fill="FFFFFF" w:val="clear"/>
    </w:rPr>
  </w:style>
  <w:style w:type="character" w:styleId="Strong">
    <w:name w:val="Strong"/>
    <w:qFormat/>
    <w:rPr>
      <w:b/>
      <w:bCs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47610c"/>
    <w:rPr>
      <w:rFonts w:ascii="Courier New" w:hAnsi="Courier New" w:cs="Courier New"/>
    </w:rPr>
  </w:style>
  <w:style w:type="character" w:styleId="Style15">
    <w:name w:val="Emphasis"/>
    <w:qFormat/>
    <w:rPr>
      <w:i/>
      <w:iCs/>
    </w:rPr>
  </w:style>
  <w:style w:type="character" w:styleId="Style16" w:customStyle="1">
    <w:name w:val="Исходный текст"/>
    <w:qFormat/>
    <w:rPr>
      <w:rFonts w:ascii="Liberation Mono" w:hAnsi="Liberation Mono" w:eastAsia="Liberation Mono" w:cs="Liberation Mono"/>
    </w:rPr>
  </w:style>
  <w:style w:type="character" w:styleId="Ins" w:customStyle="1">
    <w:name w:val="ins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Style18">
    <w:name w:val="Символ нумерации"/>
    <w:qFormat/>
    <w:rPr/>
  </w:style>
  <w:style w:type="character" w:styleId="Style19">
    <w:name w:val="Strong"/>
    <w:qFormat/>
    <w:rPr>
      <w:b/>
      <w:bCs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1">
    <w:name w:val="Body Text"/>
    <w:basedOn w:val="Normal"/>
    <w:link w:val="Style13"/>
    <w:rsid w:val="00602880"/>
    <w:pPr/>
    <w:rPr>
      <w:sz w:val="24"/>
    </w:rPr>
  </w:style>
  <w:style w:type="paragraph" w:styleId="Style22">
    <w:name w:val="List"/>
    <w:basedOn w:val="Style21"/>
    <w:pPr/>
    <w:rPr>
      <w:rFonts w:cs="Droid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5">
    <w:name w:val="Title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semiHidden/>
    <w:qFormat/>
    <w:rsid w:val="00602880"/>
    <w:pPr/>
    <w:rPr>
      <w:rFonts w:ascii="Tahoma" w:hAnsi="Tahoma" w:cs="Tahoma"/>
      <w:sz w:val="16"/>
      <w:szCs w:val="16"/>
    </w:rPr>
  </w:style>
  <w:style w:type="paragraph" w:styleId="Style26">
    <w:name w:val="Body Text Indent"/>
    <w:basedOn w:val="Normal"/>
    <w:link w:val="Style12"/>
    <w:rsid w:val="00602880"/>
    <w:pPr>
      <w:ind w:firstLine="567"/>
      <w:jc w:val="both"/>
    </w:pPr>
    <w:rPr>
      <w:sz w:val="26"/>
    </w:rPr>
  </w:style>
  <w:style w:type="paragraph" w:styleId="BlockText">
    <w:name w:val="Block Text"/>
    <w:basedOn w:val="Normal"/>
    <w:semiHidden/>
    <w:qFormat/>
    <w:rsid w:val="00602880"/>
    <w:pPr>
      <w:ind w:left="-108" w:right="-108" w:hanging="0"/>
    </w:pPr>
    <w:rPr>
      <w:color w:val="0000FF"/>
      <w:sz w:val="26"/>
    </w:rPr>
  </w:style>
  <w:style w:type="paragraph" w:styleId="Style27" w:customStyle="1">
    <w:name w:val="Колонтитул"/>
    <w:basedOn w:val="Normal"/>
    <w:qFormat/>
    <w:pPr/>
    <w:rPr/>
  </w:style>
  <w:style w:type="paragraph" w:styleId="Style28">
    <w:name w:val="Head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0">
    <w:name w:val="Endnote Text"/>
    <w:basedOn w:val="Normal"/>
    <w:link w:val="Style9"/>
    <w:uiPriority w:val="99"/>
    <w:semiHidden/>
    <w:unhideWhenUsed/>
    <w:rsid w:val="009c5f7b"/>
    <w:pPr/>
    <w:rPr/>
  </w:style>
  <w:style w:type="paragraph" w:styleId="12" w:customStyle="1">
    <w:name w:val="Без интервала1"/>
    <w:qFormat/>
    <w:rsid w:val="00ea34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Normal" w:customStyle="1">
    <w:name w:val="ConsPlusNormal"/>
    <w:qFormat/>
    <w:rsid w:val="005b788f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S1" w:customStyle="1">
    <w:name w:val="s_1"/>
    <w:basedOn w:val="Normal"/>
    <w:qFormat/>
    <w:rsid w:val="00ac3337"/>
    <w:pPr>
      <w:spacing w:beforeAutospacing="1" w:afterAutospacing="1"/>
    </w:pPr>
    <w:rPr>
      <w:sz w:val="24"/>
      <w:szCs w:val="24"/>
    </w:rPr>
  </w:style>
  <w:style w:type="paragraph" w:styleId="Style71" w:customStyle="1">
    <w:name w:val="Style7"/>
    <w:basedOn w:val="Normal"/>
    <w:qFormat/>
    <w:rsid w:val="00ac3337"/>
    <w:pPr>
      <w:widowControl w:val="false"/>
      <w:spacing w:lineRule="exact" w:line="322"/>
      <w:jc w:val="center"/>
    </w:pPr>
    <w:rPr>
      <w:rFonts w:eastAsia="Arial Unicode MS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977c8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84c68"/>
    <w:pPr>
      <w:spacing w:before="0" w:after="0"/>
      <w:ind w:left="720" w:hanging="0"/>
      <w:contextualSpacing/>
    </w:pPr>
    <w:rPr>
      <w:sz w:val="24"/>
      <w:szCs w:val="24"/>
      <w:lang w:eastAsia="zh-CN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47610c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Style31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2533f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Application>LibreOffice/7.5.9.2$Linux_X86_64 LibreOffice_project/50$Build-2</Application>
  <AppVersion>15.0000</AppVersion>
  <Pages>1</Pages>
  <Words>357</Words>
  <Characters>2065</Characters>
  <CharactersWithSpaces>2448</CharactersWithSpaces>
  <Paragraphs>13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2020-06-10T01:48:00Z</dcterms:created>
  <dc:creator>Нечаев</dc:creator>
  <dc:description/>
  <dc:language>ru-RU</dc:language>
  <cp:lastModifiedBy/>
  <cp:lastPrinted>2025-01-09T14:49:00Z</cp:lastPrinted>
  <dcterms:modified xsi:type="dcterms:W3CDTF">2026-01-12T14:09:27Z</dcterms:modified>
  <cp:revision>88</cp:revision>
  <dc:subject/>
  <dc:title>Бланк ГИТ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