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E8" w:rsidRDefault="00CF31E8" w:rsidP="00BB3E9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31E8" w:rsidRDefault="00CF31E8" w:rsidP="00C723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31E8" w:rsidRDefault="00CF31E8" w:rsidP="00C723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24D2" w:rsidRPr="00C72317" w:rsidRDefault="00884E7B" w:rsidP="00C723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317">
        <w:rPr>
          <w:rFonts w:ascii="Times New Roman" w:hAnsi="Times New Roman" w:cs="Times New Roman"/>
          <w:b/>
          <w:sz w:val="28"/>
          <w:szCs w:val="28"/>
        </w:rPr>
        <w:t>1</w:t>
      </w:r>
      <w:r w:rsidR="00E524D2" w:rsidRPr="00C723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231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84E7B" w:rsidRPr="00C72317" w:rsidRDefault="00884E7B" w:rsidP="00E524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29"/>
      </w:tblGrid>
      <w:tr w:rsidR="00884E7B" w:rsidRPr="00C72317" w:rsidTr="00D62995">
        <w:trPr>
          <w:tblCellSpacing w:w="5" w:type="nil"/>
        </w:trPr>
        <w:tc>
          <w:tcPr>
            <w:tcW w:w="2410" w:type="dxa"/>
            <w:vAlign w:val="center"/>
          </w:tcPr>
          <w:p w:rsidR="00884E7B" w:rsidRPr="00C72317" w:rsidRDefault="00884E7B" w:rsidP="00010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Наименование </w:t>
            </w:r>
            <w:r w:rsidR="007457E0" w:rsidRPr="00C72317">
              <w:rPr>
                <w:sz w:val="28"/>
                <w:szCs w:val="28"/>
              </w:rPr>
              <w:t>П</w:t>
            </w:r>
            <w:r w:rsidRPr="00C72317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229" w:type="dxa"/>
          </w:tcPr>
          <w:p w:rsidR="00884E7B" w:rsidRPr="00C72317" w:rsidRDefault="00E67C69" w:rsidP="006B6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bCs/>
                <w:iCs/>
                <w:sz w:val="28"/>
                <w:szCs w:val="28"/>
              </w:rPr>
              <w:t>Развитие транспортного комплекса в Казачинско-Ленском районе на 2017</w:t>
            </w:r>
            <w:r w:rsidR="004B0173" w:rsidRPr="00C72317">
              <w:rPr>
                <w:bCs/>
                <w:iCs/>
                <w:sz w:val="28"/>
                <w:szCs w:val="28"/>
              </w:rPr>
              <w:t>-2019 г.г.</w:t>
            </w:r>
            <w:r w:rsidRPr="00C72317"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884E7B" w:rsidRPr="00C72317" w:rsidTr="00D62995">
        <w:trPr>
          <w:tblCellSpacing w:w="5" w:type="nil"/>
        </w:trPr>
        <w:tc>
          <w:tcPr>
            <w:tcW w:w="2410" w:type="dxa"/>
            <w:vAlign w:val="center"/>
          </w:tcPr>
          <w:p w:rsidR="00884E7B" w:rsidRPr="00C72317" w:rsidRDefault="00884E7B" w:rsidP="00010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Ответственный исполнитель </w:t>
            </w:r>
            <w:r w:rsidR="007457E0" w:rsidRPr="00C72317">
              <w:rPr>
                <w:sz w:val="28"/>
                <w:szCs w:val="28"/>
              </w:rPr>
              <w:t>П</w:t>
            </w:r>
            <w:r w:rsidRPr="00C72317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0327C5" w:rsidRPr="00C72317" w:rsidRDefault="00E67C69" w:rsidP="003E32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Отдел АССТ </w:t>
            </w:r>
            <w:r w:rsidR="006F19EF" w:rsidRPr="00C72317">
              <w:rPr>
                <w:sz w:val="28"/>
                <w:szCs w:val="28"/>
              </w:rPr>
              <w:t>и ЖКХ администрации Казачинско-Л</w:t>
            </w:r>
            <w:r w:rsidRPr="00C72317">
              <w:rPr>
                <w:sz w:val="28"/>
                <w:szCs w:val="28"/>
              </w:rPr>
              <w:t>енского муниципального района</w:t>
            </w:r>
          </w:p>
        </w:tc>
      </w:tr>
      <w:tr w:rsidR="002138BE" w:rsidRPr="00C72317" w:rsidTr="00D62995">
        <w:trPr>
          <w:tblCellSpacing w:w="5" w:type="nil"/>
        </w:trPr>
        <w:tc>
          <w:tcPr>
            <w:tcW w:w="2410" w:type="dxa"/>
            <w:vAlign w:val="center"/>
          </w:tcPr>
          <w:p w:rsidR="002138BE" w:rsidRPr="00C72317" w:rsidRDefault="002138BE" w:rsidP="00D862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Участники мероприятий </w:t>
            </w:r>
            <w:r w:rsidR="00D86265" w:rsidRPr="00C72317">
              <w:rPr>
                <w:sz w:val="28"/>
                <w:szCs w:val="28"/>
              </w:rPr>
              <w:t>П</w:t>
            </w:r>
            <w:r w:rsidRPr="00C72317">
              <w:rPr>
                <w:sz w:val="28"/>
                <w:szCs w:val="28"/>
              </w:rPr>
              <w:t xml:space="preserve">рограммы                </w:t>
            </w:r>
          </w:p>
        </w:tc>
        <w:tc>
          <w:tcPr>
            <w:tcW w:w="7229" w:type="dxa"/>
          </w:tcPr>
          <w:p w:rsidR="008D0587" w:rsidRPr="00C72317" w:rsidRDefault="001251D7" w:rsidP="00C811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АССТ и ЖКХ</w:t>
            </w:r>
            <w:r w:rsidR="00B078EB" w:rsidRPr="00C72317">
              <w:rPr>
                <w:sz w:val="28"/>
                <w:szCs w:val="28"/>
              </w:rPr>
              <w:t xml:space="preserve"> администрации Казачинско-Ленского  муниципального района</w:t>
            </w:r>
            <w:r>
              <w:rPr>
                <w:sz w:val="28"/>
                <w:szCs w:val="28"/>
              </w:rPr>
              <w:t>, отдел ГО и ЧС</w:t>
            </w:r>
            <w:r w:rsidRPr="00C72317">
              <w:rPr>
                <w:sz w:val="28"/>
                <w:szCs w:val="28"/>
              </w:rPr>
              <w:t xml:space="preserve"> администрации Казачинско-Ленского  муниципального района</w:t>
            </w:r>
            <w:r>
              <w:rPr>
                <w:sz w:val="28"/>
                <w:szCs w:val="28"/>
              </w:rPr>
              <w:t xml:space="preserve">,  </w:t>
            </w:r>
            <w:r w:rsidR="00C81179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«</w:t>
            </w:r>
            <w:r w:rsidR="00C81179">
              <w:rPr>
                <w:sz w:val="28"/>
                <w:szCs w:val="28"/>
              </w:rPr>
              <w:t>ППК</w:t>
            </w:r>
            <w:r>
              <w:rPr>
                <w:sz w:val="28"/>
                <w:szCs w:val="28"/>
              </w:rPr>
              <w:t>», МУП «Трансавто».</w:t>
            </w:r>
          </w:p>
        </w:tc>
      </w:tr>
      <w:tr w:rsidR="002138BE" w:rsidRPr="00C72317" w:rsidTr="00D62995">
        <w:trPr>
          <w:tblCellSpacing w:w="5" w:type="nil"/>
        </w:trPr>
        <w:tc>
          <w:tcPr>
            <w:tcW w:w="2410" w:type="dxa"/>
            <w:vAlign w:val="center"/>
          </w:tcPr>
          <w:p w:rsidR="002138BE" w:rsidRPr="00C72317" w:rsidRDefault="002138BE" w:rsidP="00EC2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Цель Программы                     </w:t>
            </w:r>
          </w:p>
        </w:tc>
        <w:tc>
          <w:tcPr>
            <w:tcW w:w="7229" w:type="dxa"/>
          </w:tcPr>
          <w:p w:rsidR="002138BE" w:rsidRDefault="00293677" w:rsidP="00293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="008946F2" w:rsidRPr="00293677">
              <w:rPr>
                <w:rFonts w:eastAsia="Calibri"/>
                <w:sz w:val="28"/>
                <w:szCs w:val="28"/>
              </w:rPr>
              <w:t xml:space="preserve">Создание благоприятных условий для организации транспортного обслуживания населения на территории </w:t>
            </w:r>
            <w:r w:rsidR="00AF6218" w:rsidRPr="00293677">
              <w:rPr>
                <w:sz w:val="28"/>
                <w:szCs w:val="28"/>
              </w:rPr>
              <w:t>Казачинско-Ленского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293677" w:rsidRPr="00293677" w:rsidRDefault="00293677" w:rsidP="00293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Расширение рынка воздушных транспортных услуг на территории Казачинско-Ленского муниципального района.</w:t>
            </w:r>
          </w:p>
        </w:tc>
      </w:tr>
      <w:tr w:rsidR="002138BE" w:rsidRPr="00C72317" w:rsidTr="00D62995">
        <w:trPr>
          <w:tblCellSpacing w:w="5" w:type="nil"/>
        </w:trPr>
        <w:tc>
          <w:tcPr>
            <w:tcW w:w="2410" w:type="dxa"/>
            <w:vAlign w:val="center"/>
          </w:tcPr>
          <w:p w:rsidR="002138BE" w:rsidRPr="00C72317" w:rsidRDefault="002138BE" w:rsidP="00010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7229" w:type="dxa"/>
          </w:tcPr>
          <w:p w:rsidR="008946F2" w:rsidRPr="00C72317" w:rsidRDefault="008946F2" w:rsidP="008946F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2317">
              <w:rPr>
                <w:rFonts w:eastAsia="Calibri"/>
                <w:sz w:val="28"/>
                <w:szCs w:val="28"/>
              </w:rPr>
              <w:t>- повышение транспортной доступности, обеспечение условий для реализации потребностей граждан в перевозках;</w:t>
            </w:r>
          </w:p>
          <w:p w:rsidR="002138BE" w:rsidRDefault="008946F2" w:rsidP="008946F2">
            <w:pPr>
              <w:rPr>
                <w:rFonts w:eastAsia="Calibri"/>
                <w:sz w:val="28"/>
                <w:szCs w:val="28"/>
              </w:rPr>
            </w:pPr>
            <w:r w:rsidRPr="00C72317">
              <w:rPr>
                <w:rFonts w:eastAsia="Calibri"/>
                <w:sz w:val="28"/>
                <w:szCs w:val="28"/>
              </w:rPr>
              <w:t>- создание условий для бесперебойного гарантированного транспортного сообщения населенных пунктов с районным центром Казачинско-Ленского района</w:t>
            </w:r>
            <w:r w:rsidR="00293677">
              <w:rPr>
                <w:rFonts w:eastAsia="Calibri"/>
                <w:sz w:val="28"/>
                <w:szCs w:val="28"/>
              </w:rPr>
              <w:t>;</w:t>
            </w:r>
          </w:p>
          <w:p w:rsidR="00293677" w:rsidRPr="008D4CB2" w:rsidRDefault="00293677" w:rsidP="0029367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предприятий, создающих условия для предоставления воздушных транспортных услуг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93677" w:rsidRPr="00C72317" w:rsidRDefault="00293677" w:rsidP="0029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7286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обеспечение возможности приема воздушных судов на территории района.</w:t>
            </w:r>
            <w:r w:rsidRPr="00872862">
              <w:rPr>
                <w:sz w:val="28"/>
                <w:szCs w:val="28"/>
              </w:rPr>
              <w:t>  </w:t>
            </w:r>
          </w:p>
        </w:tc>
      </w:tr>
      <w:tr w:rsidR="002138BE" w:rsidRPr="00C72317">
        <w:trPr>
          <w:tblCellSpacing w:w="5" w:type="nil"/>
        </w:trPr>
        <w:tc>
          <w:tcPr>
            <w:tcW w:w="2410" w:type="dxa"/>
            <w:vAlign w:val="center"/>
          </w:tcPr>
          <w:p w:rsidR="002138BE" w:rsidRPr="00C72317" w:rsidRDefault="002138BE" w:rsidP="00010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7229" w:type="dxa"/>
            <w:vAlign w:val="center"/>
          </w:tcPr>
          <w:p w:rsidR="002138BE" w:rsidRPr="00C72317" w:rsidRDefault="002138BE" w:rsidP="00AA7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>201</w:t>
            </w:r>
            <w:r w:rsidR="004B0173" w:rsidRPr="00C72317">
              <w:rPr>
                <w:sz w:val="28"/>
                <w:szCs w:val="28"/>
              </w:rPr>
              <w:t xml:space="preserve">7-2019 </w:t>
            </w:r>
            <w:r w:rsidR="008D4CB2" w:rsidRPr="00C72317">
              <w:rPr>
                <w:sz w:val="28"/>
                <w:szCs w:val="28"/>
              </w:rPr>
              <w:t>г</w:t>
            </w:r>
            <w:r w:rsidR="004B0173" w:rsidRPr="00C72317">
              <w:rPr>
                <w:sz w:val="28"/>
                <w:szCs w:val="28"/>
              </w:rPr>
              <w:t>.г.</w:t>
            </w:r>
          </w:p>
        </w:tc>
      </w:tr>
    </w:tbl>
    <w:p w:rsidR="002E7172" w:rsidRPr="00C72317" w:rsidRDefault="002E7172">
      <w:pPr>
        <w:rPr>
          <w:sz w:val="28"/>
          <w:szCs w:val="28"/>
        </w:rPr>
      </w:pPr>
    </w:p>
    <w:tbl>
      <w:tblPr>
        <w:tblW w:w="168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29"/>
        <w:gridCol w:w="7229"/>
      </w:tblGrid>
      <w:tr w:rsidR="00C72317" w:rsidRPr="00C72317" w:rsidTr="00C72317">
        <w:trPr>
          <w:tblCellSpacing w:w="5" w:type="nil"/>
        </w:trPr>
        <w:tc>
          <w:tcPr>
            <w:tcW w:w="2410" w:type="dxa"/>
            <w:vAlign w:val="center"/>
          </w:tcPr>
          <w:p w:rsidR="00C72317" w:rsidRPr="00C72317" w:rsidRDefault="00C72317" w:rsidP="00010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Целевые показатели Программы       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C72317" w:rsidRDefault="00C72317" w:rsidP="00721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317">
              <w:rPr>
                <w:color w:val="000000"/>
                <w:sz w:val="28"/>
                <w:szCs w:val="28"/>
              </w:rPr>
              <w:t xml:space="preserve">- </w:t>
            </w:r>
            <w:r w:rsidR="00293677">
              <w:rPr>
                <w:sz w:val="28"/>
                <w:szCs w:val="28"/>
              </w:rPr>
              <w:t>к</w:t>
            </w:r>
            <w:r w:rsidRPr="00C72317">
              <w:rPr>
                <w:sz w:val="28"/>
                <w:szCs w:val="28"/>
              </w:rPr>
              <w:t xml:space="preserve">оличество перевезенных человек </w:t>
            </w:r>
            <w:r w:rsidR="00BB3E90">
              <w:rPr>
                <w:sz w:val="28"/>
                <w:szCs w:val="28"/>
              </w:rPr>
              <w:t>аэроглиссером (аэросанями-амфибией)</w:t>
            </w:r>
            <w:r w:rsidR="00293677">
              <w:rPr>
                <w:sz w:val="28"/>
                <w:szCs w:val="28"/>
              </w:rPr>
              <w:t>;</w:t>
            </w:r>
          </w:p>
          <w:p w:rsidR="00293677" w:rsidRPr="00E1500C" w:rsidRDefault="00293677" w:rsidP="002936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500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количество обслуженных воздушных судов</w:t>
            </w:r>
            <w:r w:rsidRPr="00E1500C">
              <w:rPr>
                <w:color w:val="000000"/>
                <w:sz w:val="28"/>
                <w:szCs w:val="28"/>
              </w:rPr>
              <w:t>;</w:t>
            </w:r>
          </w:p>
          <w:p w:rsidR="00293677" w:rsidRPr="00C72317" w:rsidRDefault="00293677" w:rsidP="002936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500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объем пассажироперевозок воздушными судами.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317" w:rsidRPr="00C72317" w:rsidRDefault="00C72317" w:rsidP="007219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2317" w:rsidRPr="00C72317" w:rsidTr="00C72317">
        <w:trPr>
          <w:tblCellSpacing w:w="5" w:type="nil"/>
        </w:trPr>
        <w:tc>
          <w:tcPr>
            <w:tcW w:w="2410" w:type="dxa"/>
            <w:vAlign w:val="center"/>
          </w:tcPr>
          <w:p w:rsidR="00C72317" w:rsidRPr="00C72317" w:rsidRDefault="00C72317" w:rsidP="00010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Ресурсное обеспечение Программы    </w:t>
            </w:r>
          </w:p>
        </w:tc>
        <w:tc>
          <w:tcPr>
            <w:tcW w:w="7229" w:type="dxa"/>
            <w:vAlign w:val="center"/>
          </w:tcPr>
          <w:p w:rsidR="00BB3E90" w:rsidRPr="00D86594" w:rsidRDefault="00BB3E90" w:rsidP="00BB3E90">
            <w:pPr>
              <w:widowControl w:val="0"/>
              <w:ind w:right="-6"/>
              <w:jc w:val="both"/>
              <w:rPr>
                <w:sz w:val="28"/>
                <w:szCs w:val="28"/>
              </w:rPr>
            </w:pPr>
            <w:r w:rsidRPr="00D86594">
              <w:rPr>
                <w:sz w:val="28"/>
                <w:szCs w:val="28"/>
              </w:rPr>
              <w:t>Источниками финансирования Программы являются средства местного бюджета и средства предприятий.</w:t>
            </w:r>
          </w:p>
          <w:p w:rsidR="00BB3E90" w:rsidRPr="00D86594" w:rsidRDefault="00BB3E90" w:rsidP="00BB3E90">
            <w:pPr>
              <w:widowControl w:val="0"/>
              <w:ind w:right="-6"/>
              <w:jc w:val="both"/>
              <w:rPr>
                <w:sz w:val="28"/>
                <w:szCs w:val="28"/>
              </w:rPr>
            </w:pPr>
            <w:r w:rsidRPr="00D86594">
              <w:rPr>
                <w:sz w:val="28"/>
                <w:szCs w:val="28"/>
              </w:rPr>
              <w:t>Общий объем финансирования в 2017-2019 годах за счет средств местного бюджета составляет 7 332,043 тыс. рублей, в том числе по годам:</w:t>
            </w:r>
          </w:p>
          <w:p w:rsidR="00BB3E90" w:rsidRPr="00D86594" w:rsidRDefault="00BB3E90" w:rsidP="00BB3E90">
            <w:pPr>
              <w:widowControl w:val="0"/>
              <w:ind w:right="-6"/>
              <w:jc w:val="both"/>
              <w:rPr>
                <w:sz w:val="28"/>
                <w:szCs w:val="28"/>
              </w:rPr>
            </w:pPr>
            <w:r w:rsidRPr="00D86594">
              <w:rPr>
                <w:sz w:val="28"/>
                <w:szCs w:val="28"/>
              </w:rPr>
              <w:t>2017 год - 4 878,441 тыс.рублей;</w:t>
            </w:r>
          </w:p>
          <w:p w:rsidR="00BB3E90" w:rsidRPr="00D86594" w:rsidRDefault="00BB3E90" w:rsidP="00BB3E90">
            <w:pPr>
              <w:widowControl w:val="0"/>
              <w:ind w:right="-6"/>
              <w:jc w:val="both"/>
              <w:rPr>
                <w:sz w:val="28"/>
                <w:szCs w:val="28"/>
              </w:rPr>
            </w:pPr>
            <w:r w:rsidRPr="00D86594">
              <w:rPr>
                <w:sz w:val="28"/>
                <w:szCs w:val="28"/>
              </w:rPr>
              <w:t>2018 год – 1 226,801 тыс.рублей;</w:t>
            </w:r>
          </w:p>
          <w:p w:rsidR="00BB3E90" w:rsidRPr="00D86594" w:rsidRDefault="00BB3E90" w:rsidP="00BB3E90">
            <w:pPr>
              <w:widowControl w:val="0"/>
              <w:ind w:right="-6"/>
              <w:jc w:val="both"/>
              <w:rPr>
                <w:sz w:val="28"/>
                <w:szCs w:val="28"/>
              </w:rPr>
            </w:pPr>
            <w:r w:rsidRPr="00D86594">
              <w:rPr>
                <w:sz w:val="28"/>
                <w:szCs w:val="28"/>
              </w:rPr>
              <w:t>2019 год – 1 226,801тыс.рублей.</w:t>
            </w:r>
          </w:p>
          <w:p w:rsidR="00C72317" w:rsidRPr="00C72317" w:rsidRDefault="00BB3E90" w:rsidP="00BB3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594">
              <w:rPr>
                <w:sz w:val="28"/>
                <w:szCs w:val="28"/>
              </w:rPr>
              <w:t xml:space="preserve">Объемы финансирования Программы за счет средств местного бюджета ежегодно уточняется при формировании местного бюджета на очередной </w:t>
            </w:r>
            <w:r w:rsidRPr="00D86594">
              <w:rPr>
                <w:sz w:val="28"/>
                <w:szCs w:val="28"/>
              </w:rPr>
              <w:lastRenderedPageBreak/>
              <w:t>финансовый год, исходя из возможностей местного бюджета и затрат, необходимых для реализации Программы.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C72317" w:rsidRPr="00C72317" w:rsidRDefault="00C72317" w:rsidP="004B0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2317" w:rsidRPr="00C72317" w:rsidTr="00C72317">
        <w:trPr>
          <w:trHeight w:val="400"/>
          <w:tblCellSpacing w:w="5" w:type="nil"/>
        </w:trPr>
        <w:tc>
          <w:tcPr>
            <w:tcW w:w="2410" w:type="dxa"/>
            <w:vAlign w:val="center"/>
          </w:tcPr>
          <w:p w:rsidR="00C72317" w:rsidRPr="00C72317" w:rsidRDefault="00C72317" w:rsidP="004604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                         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C72317" w:rsidRDefault="00293677" w:rsidP="00E92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72317" w:rsidRPr="00C72317">
              <w:rPr>
                <w:sz w:val="28"/>
                <w:szCs w:val="28"/>
              </w:rPr>
              <w:t xml:space="preserve">оличество перевезенных человек </w:t>
            </w:r>
            <w:r w:rsidR="00BB3E90">
              <w:rPr>
                <w:sz w:val="28"/>
                <w:szCs w:val="28"/>
              </w:rPr>
              <w:t>аэроглиссером (аэросанями-амфибией)</w:t>
            </w:r>
            <w:r w:rsidR="00C72317" w:rsidRPr="00C7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–от 50</w:t>
            </w:r>
            <w:r w:rsidR="00C72317" w:rsidRPr="00C72317">
              <w:rPr>
                <w:sz w:val="28"/>
                <w:szCs w:val="28"/>
              </w:rPr>
              <w:t xml:space="preserve"> чел. в</w:t>
            </w:r>
            <w:r>
              <w:rPr>
                <w:sz w:val="28"/>
                <w:szCs w:val="28"/>
              </w:rPr>
              <w:t xml:space="preserve"> 2017</w:t>
            </w:r>
            <w:r w:rsidR="00C72317" w:rsidRPr="00C7231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 до 1</w:t>
            </w:r>
            <w:r w:rsidR="00C811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чел. к 2019 году;</w:t>
            </w:r>
          </w:p>
          <w:p w:rsidR="00293677" w:rsidRDefault="00293677" w:rsidP="00293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обслуженных воздушных судов - 234 </w:t>
            </w:r>
            <w:r w:rsidR="005324C0">
              <w:rPr>
                <w:sz w:val="28"/>
                <w:szCs w:val="28"/>
              </w:rPr>
              <w:t>к 2019 году</w:t>
            </w:r>
            <w:r w:rsidRPr="00EF468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 </w:t>
            </w:r>
          </w:p>
          <w:p w:rsidR="00293677" w:rsidRDefault="00293677" w:rsidP="00293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пассажироперевозок воздушными судами - 7020</w:t>
            </w:r>
            <w:r w:rsidR="00153851">
              <w:rPr>
                <w:sz w:val="28"/>
                <w:szCs w:val="28"/>
              </w:rPr>
              <w:t xml:space="preserve"> чел. </w:t>
            </w:r>
            <w:r w:rsidR="005324C0">
              <w:rPr>
                <w:sz w:val="28"/>
                <w:szCs w:val="28"/>
              </w:rPr>
              <w:t>к 2019</w:t>
            </w:r>
            <w:r w:rsidR="00153851">
              <w:rPr>
                <w:sz w:val="28"/>
                <w:szCs w:val="28"/>
              </w:rPr>
              <w:t xml:space="preserve"> год</w:t>
            </w:r>
            <w:r w:rsidR="005324C0">
              <w:rPr>
                <w:sz w:val="28"/>
                <w:szCs w:val="28"/>
              </w:rPr>
              <w:t>у</w:t>
            </w:r>
            <w:r w:rsidR="00153851">
              <w:rPr>
                <w:sz w:val="28"/>
                <w:szCs w:val="28"/>
              </w:rPr>
              <w:t>.</w:t>
            </w:r>
          </w:p>
          <w:p w:rsidR="00293677" w:rsidRDefault="00293677" w:rsidP="00E92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3677" w:rsidRPr="00C72317" w:rsidRDefault="00293677" w:rsidP="00E92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317" w:rsidRPr="00C72317" w:rsidRDefault="00C72317" w:rsidP="00E92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72317" w:rsidRDefault="00C72317" w:rsidP="00235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4E7B" w:rsidRPr="00C72317" w:rsidRDefault="00884E7B" w:rsidP="00235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317">
        <w:rPr>
          <w:rFonts w:ascii="Times New Roman" w:hAnsi="Times New Roman" w:cs="Times New Roman"/>
          <w:b/>
          <w:sz w:val="28"/>
          <w:szCs w:val="28"/>
        </w:rPr>
        <w:t>2</w:t>
      </w:r>
      <w:r w:rsidR="00C679DD" w:rsidRPr="00C723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2317">
        <w:rPr>
          <w:rFonts w:ascii="Times New Roman" w:hAnsi="Times New Roman" w:cs="Times New Roman"/>
          <w:b/>
          <w:sz w:val="28"/>
          <w:szCs w:val="28"/>
        </w:rPr>
        <w:t>Характеристика проблемы,</w:t>
      </w:r>
    </w:p>
    <w:p w:rsidR="00C679DD" w:rsidRPr="00C72317" w:rsidRDefault="00884E7B" w:rsidP="00884E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3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67FAD" w:rsidRPr="00C7231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72317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 </w:t>
      </w:r>
    </w:p>
    <w:p w:rsidR="00EC332E" w:rsidRDefault="00BD192F" w:rsidP="002B5D72">
      <w:pPr>
        <w:jc w:val="both"/>
        <w:rPr>
          <w:sz w:val="28"/>
          <w:szCs w:val="28"/>
        </w:rPr>
      </w:pPr>
      <w:r w:rsidRPr="00C72317">
        <w:rPr>
          <w:sz w:val="28"/>
          <w:szCs w:val="28"/>
        </w:rPr>
        <w:tab/>
      </w:r>
      <w:r w:rsidR="002B5D72" w:rsidRPr="00C72317">
        <w:rPr>
          <w:sz w:val="28"/>
          <w:szCs w:val="28"/>
        </w:rPr>
        <w:t>Экономическая ситуация в России требует новых подходов к решению задач обеспечения населения транспор</w:t>
      </w:r>
      <w:r w:rsidR="00C72317">
        <w:rPr>
          <w:sz w:val="28"/>
          <w:szCs w:val="28"/>
        </w:rPr>
        <w:t xml:space="preserve">тными услугами. В отдаленных от </w:t>
      </w:r>
      <w:r w:rsidR="0074345E">
        <w:rPr>
          <w:sz w:val="28"/>
          <w:szCs w:val="28"/>
        </w:rPr>
        <w:t xml:space="preserve">областного и </w:t>
      </w:r>
      <w:r w:rsidR="00D64EB9" w:rsidRPr="00C72317">
        <w:rPr>
          <w:sz w:val="28"/>
          <w:szCs w:val="28"/>
        </w:rPr>
        <w:t>районного</w:t>
      </w:r>
      <w:r w:rsidR="002B5D72" w:rsidRPr="00C72317">
        <w:rPr>
          <w:sz w:val="28"/>
          <w:szCs w:val="28"/>
        </w:rPr>
        <w:t xml:space="preserve"> центра </w:t>
      </w:r>
      <w:r w:rsidR="00C72317">
        <w:rPr>
          <w:sz w:val="28"/>
          <w:szCs w:val="28"/>
        </w:rPr>
        <w:t>поселков</w:t>
      </w:r>
      <w:r w:rsidR="002B5D72" w:rsidRPr="00C72317">
        <w:rPr>
          <w:sz w:val="28"/>
          <w:szCs w:val="28"/>
        </w:rPr>
        <w:t xml:space="preserve"> со слабо развитой сетью наземного транспорта, плохим состоянием дорог, нерегулярностью перевозок становится востребован</w:t>
      </w:r>
      <w:r w:rsidR="003154CB" w:rsidRPr="00C72317">
        <w:rPr>
          <w:sz w:val="28"/>
          <w:szCs w:val="28"/>
        </w:rPr>
        <w:t xml:space="preserve">ы </w:t>
      </w:r>
      <w:r w:rsidR="00293677">
        <w:rPr>
          <w:sz w:val="28"/>
          <w:szCs w:val="28"/>
        </w:rPr>
        <w:t>авиатранспорт</w:t>
      </w:r>
      <w:r w:rsidR="00BB3E90">
        <w:rPr>
          <w:sz w:val="28"/>
          <w:szCs w:val="28"/>
        </w:rPr>
        <w:t xml:space="preserve"> </w:t>
      </w:r>
      <w:r w:rsidR="00293677">
        <w:rPr>
          <w:sz w:val="28"/>
          <w:szCs w:val="28"/>
        </w:rPr>
        <w:t xml:space="preserve">и </w:t>
      </w:r>
      <w:r w:rsidR="00BB3E90">
        <w:rPr>
          <w:sz w:val="28"/>
          <w:szCs w:val="28"/>
        </w:rPr>
        <w:t>аэроглиссеры (аэросанями-амфибией)</w:t>
      </w:r>
      <w:r w:rsidR="002B5D72" w:rsidRPr="00C72317">
        <w:rPr>
          <w:sz w:val="28"/>
          <w:szCs w:val="28"/>
        </w:rPr>
        <w:t>.</w:t>
      </w:r>
    </w:p>
    <w:p w:rsidR="00293677" w:rsidRPr="00C72317" w:rsidRDefault="00293677" w:rsidP="002B5D72">
      <w:pPr>
        <w:jc w:val="both"/>
        <w:rPr>
          <w:sz w:val="28"/>
          <w:szCs w:val="28"/>
        </w:rPr>
      </w:pPr>
      <w:r w:rsidRPr="00AD4112">
        <w:rPr>
          <w:sz w:val="28"/>
          <w:szCs w:val="28"/>
        </w:rPr>
        <w:t xml:space="preserve">Воздушный транспорт на территории Казачинско – Ленского района представлен аэропортом «Казачинск» расположенным в с. Казачинское. Аэропорт имеет капитальную ИВВП в хорошем состоянии протяженностью 1600 м, способен принимать самолеты АН-2, 24, 26, 32; ЯК-40; вертолеты всех типов. В настоящее время регулярное авиасообщение </w:t>
      </w:r>
      <w:r>
        <w:rPr>
          <w:sz w:val="28"/>
          <w:szCs w:val="28"/>
        </w:rPr>
        <w:t>происходит по средствам работы муниципального унитарного предприятия «Посадочная площадка», организующего прием и сопровождение воздушных судов, выполняющих регулярные пассажирские авиаперевозки по регулярному маршруту «Иркутск-Казачинское». Отсутствия поддержки данного предприятия на 2016 и последующие годы приведет к невозможности приема воздушных судов на территории Казачинско-Ленского муниципального района. Что в свою очередь повлечет невозможность предоставления воздушных транспортных услуг населению района, широко нуждающемуся в данных услугах.</w:t>
      </w:r>
    </w:p>
    <w:p w:rsidR="00F663C1" w:rsidRPr="00C72317" w:rsidRDefault="002B5D72" w:rsidP="002B5D72">
      <w:pPr>
        <w:jc w:val="both"/>
        <w:rPr>
          <w:sz w:val="28"/>
          <w:szCs w:val="28"/>
        </w:rPr>
      </w:pPr>
      <w:r w:rsidRPr="00C72317">
        <w:rPr>
          <w:sz w:val="28"/>
          <w:szCs w:val="28"/>
        </w:rPr>
        <w:tab/>
      </w:r>
      <w:r w:rsidR="003154CB" w:rsidRPr="00C72317">
        <w:rPr>
          <w:sz w:val="28"/>
          <w:szCs w:val="28"/>
        </w:rPr>
        <w:t>Казачинско-Ленский район объединяет 3 городских, 7 сельских и межселенная территория, на которых проживает</w:t>
      </w:r>
      <w:r w:rsidR="00F663C1" w:rsidRPr="00C72317">
        <w:rPr>
          <w:sz w:val="28"/>
          <w:szCs w:val="28"/>
        </w:rPr>
        <w:t xml:space="preserve"> 17291 </w:t>
      </w:r>
      <w:r w:rsidR="003154CB" w:rsidRPr="00C72317">
        <w:rPr>
          <w:sz w:val="28"/>
          <w:szCs w:val="28"/>
        </w:rPr>
        <w:t>человек.</w:t>
      </w:r>
      <w:r w:rsidR="00F663C1" w:rsidRPr="00C72317">
        <w:rPr>
          <w:sz w:val="28"/>
          <w:szCs w:val="28"/>
        </w:rPr>
        <w:t xml:space="preserve"> Большинство отдаленных деревень</w:t>
      </w:r>
      <w:r w:rsidR="00273E7B">
        <w:rPr>
          <w:sz w:val="28"/>
          <w:szCs w:val="28"/>
        </w:rPr>
        <w:t xml:space="preserve"> такие как Карна</w:t>
      </w:r>
      <w:r w:rsidR="0074345E">
        <w:rPr>
          <w:sz w:val="28"/>
          <w:szCs w:val="28"/>
        </w:rPr>
        <w:t>ухова, Нижне</w:t>
      </w:r>
      <w:r w:rsidR="00BD2F1B">
        <w:rPr>
          <w:sz w:val="28"/>
          <w:szCs w:val="28"/>
        </w:rPr>
        <w:t>м</w:t>
      </w:r>
      <w:r w:rsidR="00273E7B">
        <w:rPr>
          <w:sz w:val="28"/>
          <w:szCs w:val="28"/>
        </w:rPr>
        <w:t>артыново</w:t>
      </w:r>
      <w:r w:rsidR="0074345E">
        <w:rPr>
          <w:sz w:val="28"/>
          <w:szCs w:val="28"/>
        </w:rPr>
        <w:t>, Верхнемартыново</w:t>
      </w:r>
      <w:r w:rsidR="00F663C1" w:rsidRPr="00C72317">
        <w:rPr>
          <w:sz w:val="28"/>
          <w:szCs w:val="28"/>
        </w:rPr>
        <w:t xml:space="preserve"> не имеют круглогодичного сообщения по автодорогам. Так же отсутствуют вертолетные площадки. Единственным возможным средством эвакуации, либо экстренной медицинской помощи может быть только </w:t>
      </w:r>
      <w:r w:rsidR="00BB3E90">
        <w:rPr>
          <w:sz w:val="28"/>
          <w:szCs w:val="28"/>
        </w:rPr>
        <w:t>аэроглиссером (аэросанями-амфибией)</w:t>
      </w:r>
      <w:r w:rsidR="00F663C1" w:rsidRPr="00C72317">
        <w:rPr>
          <w:sz w:val="28"/>
          <w:szCs w:val="28"/>
        </w:rPr>
        <w:t>.Эксплуатация судна на воздушной подушке позволит осуществлять и иметь неоспоримые преимущества при выполнении следующих работ:</w:t>
      </w:r>
    </w:p>
    <w:p w:rsidR="00F663C1" w:rsidRPr="00C72317" w:rsidRDefault="00F663C1" w:rsidP="002B5D72">
      <w:pPr>
        <w:jc w:val="both"/>
        <w:rPr>
          <w:sz w:val="28"/>
          <w:szCs w:val="28"/>
        </w:rPr>
      </w:pPr>
      <w:r w:rsidRPr="00C72317">
        <w:rPr>
          <w:sz w:val="28"/>
          <w:szCs w:val="28"/>
        </w:rPr>
        <w:t>- спасение и эвакуация людей из зон затопления;</w:t>
      </w:r>
    </w:p>
    <w:p w:rsidR="00F663C1" w:rsidRPr="00C72317" w:rsidRDefault="00F663C1" w:rsidP="002B5D72">
      <w:pPr>
        <w:jc w:val="both"/>
        <w:rPr>
          <w:sz w:val="28"/>
          <w:szCs w:val="28"/>
        </w:rPr>
      </w:pPr>
      <w:r w:rsidRPr="00C72317">
        <w:rPr>
          <w:sz w:val="28"/>
          <w:szCs w:val="28"/>
        </w:rPr>
        <w:t xml:space="preserve">-поиск пропавших </w:t>
      </w:r>
      <w:r w:rsidR="00C72317" w:rsidRPr="00C72317">
        <w:rPr>
          <w:sz w:val="28"/>
          <w:szCs w:val="28"/>
        </w:rPr>
        <w:t>без вести</w:t>
      </w:r>
      <w:r w:rsidRPr="00C72317">
        <w:rPr>
          <w:sz w:val="28"/>
          <w:szCs w:val="28"/>
        </w:rPr>
        <w:t>;</w:t>
      </w:r>
    </w:p>
    <w:p w:rsidR="00F663C1" w:rsidRPr="00C72317" w:rsidRDefault="00F663C1" w:rsidP="002B5D72">
      <w:pPr>
        <w:jc w:val="both"/>
        <w:rPr>
          <w:sz w:val="28"/>
          <w:szCs w:val="28"/>
        </w:rPr>
      </w:pPr>
      <w:r w:rsidRPr="00C72317">
        <w:rPr>
          <w:sz w:val="28"/>
          <w:szCs w:val="28"/>
        </w:rPr>
        <w:t>- мониторинг во время пожароопасного периода;</w:t>
      </w:r>
    </w:p>
    <w:p w:rsidR="00F663C1" w:rsidRPr="00C72317" w:rsidRDefault="00F663C1" w:rsidP="002B5D72">
      <w:pPr>
        <w:jc w:val="both"/>
        <w:rPr>
          <w:sz w:val="28"/>
          <w:szCs w:val="28"/>
        </w:rPr>
      </w:pPr>
      <w:r w:rsidRPr="00C72317">
        <w:rPr>
          <w:sz w:val="28"/>
          <w:szCs w:val="28"/>
        </w:rPr>
        <w:t xml:space="preserve">- природоохранная </w:t>
      </w:r>
      <w:r w:rsidR="00083B1A" w:rsidRPr="00C72317">
        <w:rPr>
          <w:sz w:val="28"/>
          <w:szCs w:val="28"/>
        </w:rPr>
        <w:t>деятельность;</w:t>
      </w:r>
    </w:p>
    <w:p w:rsidR="00083B1A" w:rsidRPr="00C72317" w:rsidRDefault="00083B1A" w:rsidP="00D64E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317">
        <w:rPr>
          <w:sz w:val="28"/>
          <w:szCs w:val="28"/>
        </w:rPr>
        <w:t xml:space="preserve">- </w:t>
      </w:r>
      <w:r w:rsidR="00D64EB9" w:rsidRPr="00C72317">
        <w:rPr>
          <w:sz w:val="28"/>
          <w:szCs w:val="28"/>
        </w:rPr>
        <w:t>постоянного</w:t>
      </w:r>
      <w:r w:rsidRPr="00C72317">
        <w:rPr>
          <w:sz w:val="28"/>
          <w:szCs w:val="28"/>
        </w:rPr>
        <w:t xml:space="preserve"> транспортного сообщения </w:t>
      </w:r>
      <w:r w:rsidR="00D64EB9" w:rsidRPr="00C72317">
        <w:rPr>
          <w:sz w:val="28"/>
          <w:szCs w:val="28"/>
        </w:rPr>
        <w:t>между населенными пунктамиКазачинско-Ленского района</w:t>
      </w:r>
      <w:r w:rsidRPr="00C72317">
        <w:rPr>
          <w:sz w:val="28"/>
          <w:szCs w:val="28"/>
        </w:rPr>
        <w:t>.</w:t>
      </w:r>
    </w:p>
    <w:p w:rsidR="00083B1A" w:rsidRPr="00C72317" w:rsidRDefault="00083B1A" w:rsidP="002B5D72">
      <w:pPr>
        <w:jc w:val="both"/>
        <w:rPr>
          <w:sz w:val="28"/>
          <w:szCs w:val="28"/>
        </w:rPr>
      </w:pPr>
    </w:p>
    <w:p w:rsidR="00204803" w:rsidRPr="00C72317" w:rsidRDefault="00B75F5C" w:rsidP="00C7231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72317">
        <w:rPr>
          <w:b/>
          <w:sz w:val="28"/>
          <w:szCs w:val="28"/>
        </w:rPr>
        <w:lastRenderedPageBreak/>
        <w:t>3</w:t>
      </w:r>
      <w:r w:rsidR="00884E7B" w:rsidRPr="00C72317">
        <w:rPr>
          <w:b/>
          <w:sz w:val="28"/>
          <w:szCs w:val="28"/>
        </w:rPr>
        <w:t>. Цели и задачи, целевые показатели, сроки реализации Программы</w:t>
      </w:r>
    </w:p>
    <w:p w:rsidR="00212CFD" w:rsidRPr="00C72317" w:rsidRDefault="009574EF" w:rsidP="000D7F80">
      <w:pPr>
        <w:jc w:val="both"/>
        <w:rPr>
          <w:sz w:val="28"/>
          <w:szCs w:val="28"/>
        </w:rPr>
      </w:pPr>
      <w:r w:rsidRPr="00C72317">
        <w:rPr>
          <w:sz w:val="28"/>
          <w:szCs w:val="28"/>
        </w:rPr>
        <w:t>     </w:t>
      </w:r>
      <w:r w:rsidR="00293677">
        <w:rPr>
          <w:sz w:val="28"/>
          <w:szCs w:val="28"/>
        </w:rPr>
        <w:t>Цели</w:t>
      </w:r>
      <w:r w:rsidR="00BB3E90">
        <w:rPr>
          <w:sz w:val="28"/>
          <w:szCs w:val="28"/>
        </w:rPr>
        <w:t xml:space="preserve"> </w:t>
      </w:r>
      <w:r w:rsidR="00CA578D">
        <w:rPr>
          <w:sz w:val="28"/>
          <w:szCs w:val="28"/>
        </w:rPr>
        <w:t>муниципальной</w:t>
      </w:r>
      <w:r w:rsidRPr="00C72317">
        <w:rPr>
          <w:sz w:val="28"/>
          <w:szCs w:val="28"/>
        </w:rPr>
        <w:t xml:space="preserve"> Программы</w:t>
      </w:r>
      <w:r w:rsidR="00212CFD" w:rsidRPr="00C72317">
        <w:rPr>
          <w:sz w:val="28"/>
          <w:szCs w:val="28"/>
        </w:rPr>
        <w:t>:</w:t>
      </w:r>
    </w:p>
    <w:p w:rsidR="00293677" w:rsidRDefault="00293677" w:rsidP="00293677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 </w:t>
      </w:r>
      <w:r w:rsidR="005324C0">
        <w:rPr>
          <w:rFonts w:eastAsia="Calibri"/>
          <w:sz w:val="28"/>
          <w:szCs w:val="28"/>
        </w:rPr>
        <w:t>с</w:t>
      </w:r>
      <w:r w:rsidRPr="00293677">
        <w:rPr>
          <w:rFonts w:eastAsia="Calibri"/>
          <w:sz w:val="28"/>
          <w:szCs w:val="28"/>
        </w:rPr>
        <w:t xml:space="preserve">оздание благоприятных условий для организации транспортного обслуживания населения на территории </w:t>
      </w:r>
      <w:r w:rsidRPr="00293677">
        <w:rPr>
          <w:sz w:val="28"/>
          <w:szCs w:val="28"/>
        </w:rPr>
        <w:t>Казачинско-Ленского муниципального района</w:t>
      </w:r>
      <w:r>
        <w:rPr>
          <w:sz w:val="28"/>
          <w:szCs w:val="28"/>
        </w:rPr>
        <w:t>;</w:t>
      </w:r>
    </w:p>
    <w:p w:rsidR="00625C23" w:rsidRPr="00C72317" w:rsidRDefault="00CA578D" w:rsidP="00BB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5324C0">
        <w:rPr>
          <w:sz w:val="28"/>
          <w:szCs w:val="28"/>
        </w:rPr>
        <w:t>р</w:t>
      </w:r>
      <w:r w:rsidR="00293677">
        <w:rPr>
          <w:sz w:val="28"/>
          <w:szCs w:val="28"/>
        </w:rPr>
        <w:t>асширение рынка воздушных транспортных услуг на территории Казачинско-Ленского муниципального района</w:t>
      </w:r>
      <w:r w:rsidR="00625C23" w:rsidRPr="00C72317">
        <w:rPr>
          <w:sz w:val="28"/>
          <w:szCs w:val="28"/>
        </w:rPr>
        <w:t>.</w:t>
      </w:r>
    </w:p>
    <w:p w:rsidR="00847F23" w:rsidRPr="00C72317" w:rsidRDefault="00847F23" w:rsidP="00847F2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72317">
        <w:rPr>
          <w:sz w:val="28"/>
          <w:szCs w:val="28"/>
        </w:rPr>
        <w:t>Задачи муниципальной Программы:</w:t>
      </w:r>
    </w:p>
    <w:p w:rsidR="00293677" w:rsidRPr="00C72317" w:rsidRDefault="00293677" w:rsidP="00293677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2317">
        <w:rPr>
          <w:rFonts w:eastAsia="Calibri"/>
          <w:sz w:val="28"/>
          <w:szCs w:val="28"/>
        </w:rPr>
        <w:t>- повышение транспортной доступности, обеспечение условий для реализации потребностей граждан в перевозках;</w:t>
      </w:r>
    </w:p>
    <w:p w:rsidR="00293677" w:rsidRDefault="00293677" w:rsidP="00293677">
      <w:pPr>
        <w:rPr>
          <w:rFonts w:eastAsia="Calibri"/>
          <w:sz w:val="28"/>
          <w:szCs w:val="28"/>
        </w:rPr>
      </w:pPr>
      <w:r w:rsidRPr="00C72317">
        <w:rPr>
          <w:rFonts w:eastAsia="Calibri"/>
          <w:sz w:val="28"/>
          <w:szCs w:val="28"/>
        </w:rPr>
        <w:t>- создание условий для бесперебойного гарантированного транспортного сообщения населенных пунктов с районным центром Казачинско-Ленского района</w:t>
      </w:r>
      <w:r>
        <w:rPr>
          <w:rFonts w:eastAsia="Calibri"/>
          <w:sz w:val="28"/>
          <w:szCs w:val="28"/>
        </w:rPr>
        <w:t>;</w:t>
      </w:r>
    </w:p>
    <w:p w:rsidR="00293677" w:rsidRDefault="00293677" w:rsidP="0029367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развитие предприятий, создающих условия для предоставления воздушных транспортных услуг; </w:t>
      </w:r>
    </w:p>
    <w:p w:rsidR="00C72317" w:rsidRPr="00293677" w:rsidRDefault="00293677" w:rsidP="0029367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872862">
        <w:rPr>
          <w:sz w:val="28"/>
          <w:szCs w:val="28"/>
        </w:rPr>
        <w:t> </w:t>
      </w:r>
      <w:r>
        <w:rPr>
          <w:sz w:val="28"/>
          <w:szCs w:val="28"/>
        </w:rPr>
        <w:t>обеспечение возможности приема воздушных судов на территории района</w:t>
      </w:r>
      <w:r w:rsidR="00C81179">
        <w:rPr>
          <w:sz w:val="28"/>
          <w:szCs w:val="28"/>
        </w:rPr>
        <w:t>.</w:t>
      </w:r>
    </w:p>
    <w:p w:rsidR="005D537D" w:rsidRPr="00C72317" w:rsidRDefault="005D537D" w:rsidP="00BD192F">
      <w:pPr>
        <w:pStyle w:val="formattexttopleveltext"/>
        <w:spacing w:after="240" w:afterAutospacing="0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Целевые показатели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276"/>
        <w:gridCol w:w="1843"/>
        <w:gridCol w:w="1843"/>
        <w:gridCol w:w="1559"/>
      </w:tblGrid>
      <w:tr w:rsidR="00D64EB9" w:rsidRPr="00C72317" w:rsidTr="003021DF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CF31E8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№</w:t>
            </w:r>
            <w:r w:rsidR="00D64EB9" w:rsidRPr="00CF31E8">
              <w:rPr>
                <w:b/>
                <w:sz w:val="28"/>
                <w:szCs w:val="28"/>
              </w:rPr>
              <w:t xml:space="preserve">  п/п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Наименование</w:t>
            </w:r>
          </w:p>
          <w:p w:rsidR="00CF31E8" w:rsidRPr="00CF31E8" w:rsidRDefault="00CF31E8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D64EB9" w:rsidRPr="00CF31E8">
              <w:rPr>
                <w:b/>
                <w:sz w:val="28"/>
                <w:szCs w:val="28"/>
              </w:rPr>
              <w:t>елевого</w:t>
            </w:r>
          </w:p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Ед.</w:t>
            </w:r>
          </w:p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 xml:space="preserve">        Значения целевых показателей        </w:t>
            </w:r>
          </w:p>
        </w:tc>
      </w:tr>
      <w:tr w:rsidR="00D64EB9" w:rsidRPr="00C72317" w:rsidTr="003021DF">
        <w:trPr>
          <w:trHeight w:val="72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B9" w:rsidRPr="00CF31E8" w:rsidRDefault="00D64EB9" w:rsidP="00CF31E8">
            <w:pPr>
              <w:pStyle w:val="formattexttopleveltext"/>
              <w:contextualSpacing/>
              <w:jc w:val="center"/>
              <w:rPr>
                <w:b/>
                <w:sz w:val="28"/>
                <w:szCs w:val="28"/>
              </w:rPr>
            </w:pPr>
            <w:r w:rsidRPr="00CF31E8">
              <w:rPr>
                <w:b/>
                <w:sz w:val="28"/>
                <w:szCs w:val="28"/>
              </w:rPr>
              <w:t>2019</w:t>
            </w:r>
          </w:p>
        </w:tc>
      </w:tr>
      <w:tr w:rsidR="00D64EB9" w:rsidRPr="00C72317" w:rsidTr="00C81179">
        <w:trPr>
          <w:trHeight w:val="11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B9" w:rsidRPr="00C72317" w:rsidRDefault="00D64EB9" w:rsidP="00C81179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79" w:rsidRPr="00C72317" w:rsidRDefault="00D64EB9" w:rsidP="003021DF">
            <w:pPr>
              <w:pStyle w:val="formattexttopleveltext"/>
              <w:rPr>
                <w:sz w:val="28"/>
                <w:szCs w:val="28"/>
              </w:rPr>
            </w:pPr>
            <w:r w:rsidRPr="00C72317">
              <w:rPr>
                <w:sz w:val="28"/>
                <w:szCs w:val="28"/>
              </w:rPr>
              <w:t xml:space="preserve">Количество перевезенных человек </w:t>
            </w:r>
            <w:r w:rsidR="00BB3E90">
              <w:rPr>
                <w:sz w:val="28"/>
                <w:szCs w:val="28"/>
              </w:rPr>
              <w:t>аэроглиссером (аэросанями-амфибией)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B9" w:rsidRPr="00C72317" w:rsidRDefault="00CF31E8" w:rsidP="00F663C1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B9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B9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B9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64EB9" w:rsidRPr="00C72317" w:rsidRDefault="00D64EB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</w:p>
          <w:p w:rsidR="00D64EB9" w:rsidRPr="00C72317" w:rsidRDefault="00D64EB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3021DF" w:rsidRPr="00C72317" w:rsidTr="003021D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Pr="00C72317" w:rsidRDefault="003021DF" w:rsidP="00C81179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1DF" w:rsidRPr="00C72317" w:rsidRDefault="003021DF" w:rsidP="003021DF">
            <w:pPr>
              <w:pStyle w:val="formattexttopleveltex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обслуженных воздушных 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Default="003021DF" w:rsidP="00F663C1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3021DF" w:rsidRPr="00C72317" w:rsidTr="003021D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Default="003021DF" w:rsidP="00C81179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1DF" w:rsidRDefault="003021DF" w:rsidP="003021DF">
            <w:pPr>
              <w:pStyle w:val="formattexttopleveltex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пассажироперевозок воздушными судами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Default="003021DF" w:rsidP="00F663C1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1DF" w:rsidRPr="00C72317" w:rsidRDefault="00C81179" w:rsidP="00625C23">
            <w:pPr>
              <w:pStyle w:val="formattexttoplevel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4967F5" w:rsidRPr="00BB3E90" w:rsidRDefault="00847F23" w:rsidP="00BB3E90">
      <w:pPr>
        <w:pStyle w:val="formattexttopleveltext"/>
        <w:spacing w:after="240" w:afterAutospacing="0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  </w:t>
      </w:r>
      <w:r w:rsidR="00957C9B" w:rsidRPr="00C72317">
        <w:rPr>
          <w:sz w:val="28"/>
          <w:szCs w:val="28"/>
        </w:rPr>
        <w:t>Сроки реализации муниципальной Программы 201</w:t>
      </w:r>
      <w:r w:rsidR="00625C23" w:rsidRPr="00C72317">
        <w:rPr>
          <w:sz w:val="28"/>
          <w:szCs w:val="28"/>
        </w:rPr>
        <w:t>7</w:t>
      </w:r>
      <w:r w:rsidR="00BB3E90">
        <w:rPr>
          <w:sz w:val="28"/>
          <w:szCs w:val="28"/>
        </w:rPr>
        <w:t>-2019 г.г</w:t>
      </w:r>
    </w:p>
    <w:p w:rsidR="00525661" w:rsidRPr="00C72317" w:rsidRDefault="00525661" w:rsidP="003E325D">
      <w:pPr>
        <w:ind w:firstLine="708"/>
        <w:jc w:val="center"/>
        <w:rPr>
          <w:b/>
          <w:sz w:val="28"/>
          <w:szCs w:val="28"/>
        </w:rPr>
      </w:pPr>
      <w:r w:rsidRPr="00C72317">
        <w:rPr>
          <w:b/>
          <w:sz w:val="28"/>
          <w:szCs w:val="28"/>
        </w:rPr>
        <w:t>4. Ресурсное обеспечение Программы</w:t>
      </w:r>
    </w:p>
    <w:p w:rsidR="00525661" w:rsidRPr="00C72317" w:rsidRDefault="00525661" w:rsidP="005256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3"/>
        <w:gridCol w:w="1839"/>
        <w:gridCol w:w="1322"/>
        <w:gridCol w:w="1314"/>
        <w:gridCol w:w="1541"/>
        <w:gridCol w:w="2154"/>
      </w:tblGrid>
      <w:tr w:rsidR="00BB3E90" w:rsidRPr="00C72317" w:rsidTr="00C11E8F">
        <w:tc>
          <w:tcPr>
            <w:tcW w:w="1753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170" w:type="dxa"/>
            <w:gridSpan w:val="5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BB3E90" w:rsidRPr="00C72317" w:rsidTr="00C11E8F">
        <w:tc>
          <w:tcPr>
            <w:tcW w:w="1753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31" w:type="dxa"/>
            <w:gridSpan w:val="4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BB3E90" w:rsidRPr="00C72317" w:rsidTr="00C11E8F">
        <w:tc>
          <w:tcPr>
            <w:tcW w:w="1753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314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541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2154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BB3E90" w:rsidRPr="00C72317" w:rsidTr="00C11E8F">
        <w:tc>
          <w:tcPr>
            <w:tcW w:w="1753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8 132,043</w:t>
            </w:r>
          </w:p>
        </w:tc>
        <w:tc>
          <w:tcPr>
            <w:tcW w:w="1322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7 332,043</w:t>
            </w:r>
          </w:p>
        </w:tc>
        <w:tc>
          <w:tcPr>
            <w:tcW w:w="2154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BB3E90" w:rsidRPr="00C72317" w:rsidTr="00C11E8F">
        <w:tc>
          <w:tcPr>
            <w:tcW w:w="1753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39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5 078,441</w:t>
            </w:r>
          </w:p>
        </w:tc>
        <w:tc>
          <w:tcPr>
            <w:tcW w:w="1322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4 878,441</w:t>
            </w:r>
          </w:p>
        </w:tc>
        <w:tc>
          <w:tcPr>
            <w:tcW w:w="2154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B3E90" w:rsidRPr="00C72317" w:rsidTr="00C11E8F">
        <w:tc>
          <w:tcPr>
            <w:tcW w:w="1753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839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1 526,801</w:t>
            </w:r>
          </w:p>
        </w:tc>
        <w:tc>
          <w:tcPr>
            <w:tcW w:w="1322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1 226,801</w:t>
            </w:r>
          </w:p>
        </w:tc>
        <w:tc>
          <w:tcPr>
            <w:tcW w:w="2154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B3E90" w:rsidRPr="00C72317" w:rsidTr="00C11E8F">
        <w:tc>
          <w:tcPr>
            <w:tcW w:w="1753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39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1 526,801</w:t>
            </w:r>
          </w:p>
        </w:tc>
        <w:tc>
          <w:tcPr>
            <w:tcW w:w="1322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1 226,801</w:t>
            </w:r>
          </w:p>
        </w:tc>
        <w:tc>
          <w:tcPr>
            <w:tcW w:w="2154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7918D6" w:rsidRPr="00C72317" w:rsidRDefault="007918D6" w:rsidP="005256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D6" w:rsidRPr="00C72317" w:rsidRDefault="007918D6" w:rsidP="005324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7918D6" w:rsidRPr="00C72317" w:rsidSect="00C72317">
          <w:pgSz w:w="11906" w:h="16838"/>
          <w:pgMar w:top="426" w:right="567" w:bottom="567" w:left="1418" w:header="709" w:footer="709" w:gutter="0"/>
          <w:cols w:space="708"/>
          <w:docGrid w:linePitch="360"/>
        </w:sectPr>
      </w:pPr>
    </w:p>
    <w:p w:rsidR="005324C0" w:rsidRDefault="005324C0" w:rsidP="005324C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24C0" w:rsidRDefault="005324C0" w:rsidP="005324C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24C0" w:rsidRDefault="005324C0" w:rsidP="005324C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7BB8" w:rsidRPr="00C72317" w:rsidRDefault="00497BB8" w:rsidP="005324C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2317">
        <w:rPr>
          <w:rFonts w:ascii="Times New Roman" w:hAnsi="Times New Roman" w:cs="Times New Roman"/>
          <w:color w:val="000000"/>
          <w:sz w:val="24"/>
          <w:szCs w:val="24"/>
        </w:rPr>
        <w:t>Детальный план-график реализации Программы на очередной финансовый год и плановый период</w:t>
      </w:r>
    </w:p>
    <w:p w:rsidR="007918D6" w:rsidRPr="00C72317" w:rsidRDefault="007918D6" w:rsidP="00C7231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155"/>
        <w:gridCol w:w="1984"/>
        <w:gridCol w:w="1843"/>
        <w:gridCol w:w="1276"/>
        <w:gridCol w:w="1276"/>
        <w:gridCol w:w="1417"/>
        <w:gridCol w:w="1418"/>
        <w:gridCol w:w="1275"/>
        <w:gridCol w:w="1418"/>
      </w:tblGrid>
      <w:tr w:rsidR="00BB3E90" w:rsidRPr="00C72317" w:rsidTr="00C11E8F">
        <w:tc>
          <w:tcPr>
            <w:tcW w:w="531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5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4111" w:type="dxa"/>
            <w:gridSpan w:val="3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BB3E90" w:rsidRPr="00C72317" w:rsidTr="00C11E8F">
        <w:tc>
          <w:tcPr>
            <w:tcW w:w="531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75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</w:tr>
      <w:tr w:rsidR="00BB3E90" w:rsidRPr="00C72317" w:rsidTr="00C11E8F">
        <w:tc>
          <w:tcPr>
            <w:tcW w:w="531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3E90" w:rsidRPr="00C72317" w:rsidTr="00C11E8F">
        <w:tc>
          <w:tcPr>
            <w:tcW w:w="531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Приобритение аэроглиссера (аэросаней-амфибии) </w:t>
            </w:r>
          </w:p>
        </w:tc>
        <w:tc>
          <w:tcPr>
            <w:tcW w:w="1984" w:type="dxa"/>
            <w:vAlign w:val="center"/>
          </w:tcPr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BB3E90" w:rsidRPr="00CF31E8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1E8">
              <w:rPr>
                <w:rFonts w:ascii="Times New Roman" w:hAnsi="Times New Roman" w:cs="Times New Roman"/>
                <w:sz w:val="24"/>
                <w:szCs w:val="24"/>
              </w:rPr>
              <w:t>АССТ и ЖКХ администрации Казачинско-Ленского муниципального района</w:t>
            </w:r>
          </w:p>
        </w:tc>
        <w:tc>
          <w:tcPr>
            <w:tcW w:w="1843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231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перевезенных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аэроглиссером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Align w:val="center"/>
          </w:tcPr>
          <w:p w:rsidR="00BB3E90" w:rsidRPr="0028527C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0408 795</w:t>
            </w:r>
            <w:r w:rsidRPr="001652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1418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3 682,0</w:t>
            </w:r>
          </w:p>
        </w:tc>
        <w:tc>
          <w:tcPr>
            <w:tcW w:w="1275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E90" w:rsidRPr="00C72317" w:rsidTr="00C11E8F">
        <w:tc>
          <w:tcPr>
            <w:tcW w:w="531" w:type="dxa"/>
            <w:vAlign w:val="center"/>
          </w:tcPr>
          <w:p w:rsidR="00BB3E90" w:rsidRPr="00436DB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:rsidR="00BB3E90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эксплуатация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аэроглиссера (аэросаней-амфибии)</w:t>
            </w:r>
          </w:p>
        </w:tc>
        <w:tc>
          <w:tcPr>
            <w:tcW w:w="1984" w:type="dxa"/>
            <w:vAlign w:val="center"/>
          </w:tcPr>
          <w:p w:rsidR="00BB3E90" w:rsidRPr="00CF31E8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«Трансавто»</w:t>
            </w:r>
          </w:p>
        </w:tc>
        <w:tc>
          <w:tcPr>
            <w:tcW w:w="1843" w:type="dxa"/>
            <w:vAlign w:val="center"/>
          </w:tcPr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техническо-исправном состоянии, для удовлетворения спроса населения в транспорте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Align w:val="center"/>
          </w:tcPr>
          <w:p w:rsidR="00BB3E90" w:rsidRPr="0028527C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0408 795</w:t>
            </w:r>
            <w:r w:rsidRPr="001652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1418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5" w:type="dxa"/>
          </w:tcPr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255,360</w:t>
            </w:r>
          </w:p>
        </w:tc>
        <w:tc>
          <w:tcPr>
            <w:tcW w:w="1418" w:type="dxa"/>
          </w:tcPr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255,360</w:t>
            </w:r>
          </w:p>
        </w:tc>
      </w:tr>
      <w:tr w:rsidR="00BB3E90" w:rsidRPr="00C72317" w:rsidTr="00C11E8F">
        <w:tc>
          <w:tcPr>
            <w:tcW w:w="531" w:type="dxa"/>
            <w:vAlign w:val="center"/>
          </w:tcPr>
          <w:p w:rsidR="00BB3E90" w:rsidRPr="00153851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Содержание и эксплуатация ВПП в соответствии с  действующими  требованиями</w:t>
            </w:r>
          </w:p>
        </w:tc>
        <w:tc>
          <w:tcPr>
            <w:tcW w:w="1984" w:type="dxa"/>
            <w:vAlign w:val="center"/>
          </w:tcPr>
          <w:p w:rsidR="00BB3E90" w:rsidRPr="00CF31E8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унитарное предприятие «Посадочная площадка Казачинск»</w:t>
            </w:r>
          </w:p>
        </w:tc>
        <w:tc>
          <w:tcPr>
            <w:tcW w:w="1843" w:type="dxa"/>
            <w:vAlign w:val="center"/>
          </w:tcPr>
          <w:p w:rsidR="00BB3E90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1.Возможность приема и сопровождения воздушных судов;</w:t>
            </w:r>
          </w:p>
          <w:p w:rsidR="00BB3E90" w:rsidRPr="001652AB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2.К</w:t>
            </w:r>
            <w:r w:rsidRPr="001652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оличество обслуженных воздушных судов - 234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судна </w:t>
            </w:r>
            <w:r w:rsidRPr="001652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год;</w:t>
            </w:r>
          </w:p>
          <w:p w:rsidR="00BB3E90" w:rsidRPr="00C72317" w:rsidRDefault="00BB3E90" w:rsidP="00C1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3.О</w:t>
            </w:r>
            <w:r w:rsidRPr="001652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бъем авиа пассажироперевозок 7020 чел. в год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276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0408 795</w:t>
            </w:r>
            <w:r w:rsidRPr="001652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1418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1 071,441</w:t>
            </w:r>
          </w:p>
        </w:tc>
        <w:tc>
          <w:tcPr>
            <w:tcW w:w="1275" w:type="dxa"/>
          </w:tcPr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971,441</w:t>
            </w:r>
          </w:p>
        </w:tc>
        <w:tc>
          <w:tcPr>
            <w:tcW w:w="1418" w:type="dxa"/>
          </w:tcPr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971,441</w:t>
            </w:r>
          </w:p>
        </w:tc>
      </w:tr>
      <w:tr w:rsidR="00BB3E90" w:rsidRPr="00C72317" w:rsidTr="00C11E8F">
        <w:tc>
          <w:tcPr>
            <w:tcW w:w="11482" w:type="dxa"/>
            <w:gridSpan w:val="7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418" w:type="dxa"/>
            <w:vAlign w:val="center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4 878</w:t>
            </w:r>
            <w:r w:rsidRPr="00C7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275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1 226,801</w:t>
            </w:r>
          </w:p>
        </w:tc>
        <w:tc>
          <w:tcPr>
            <w:tcW w:w="1418" w:type="dxa"/>
          </w:tcPr>
          <w:p w:rsidR="00BB3E90" w:rsidRPr="00C72317" w:rsidRDefault="00BB3E90" w:rsidP="00C1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1 226,801</w:t>
            </w:r>
          </w:p>
        </w:tc>
      </w:tr>
    </w:tbl>
    <w:p w:rsidR="007918D6" w:rsidRPr="00C72317" w:rsidRDefault="007918D6" w:rsidP="005256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7918D6" w:rsidRPr="00C72317" w:rsidSect="005F514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A578D" w:rsidRPr="00520034" w:rsidRDefault="00520034" w:rsidP="00520034">
      <w:pPr>
        <w:ind w:firstLine="900"/>
        <w:jc w:val="center"/>
        <w:rPr>
          <w:b/>
          <w:sz w:val="28"/>
          <w:szCs w:val="28"/>
        </w:rPr>
      </w:pPr>
      <w:r w:rsidRPr="00520034">
        <w:rPr>
          <w:b/>
          <w:sz w:val="28"/>
          <w:szCs w:val="28"/>
        </w:rPr>
        <w:lastRenderedPageBreak/>
        <w:t>5. Анализ рисков ре</w:t>
      </w:r>
      <w:r>
        <w:rPr>
          <w:b/>
          <w:sz w:val="28"/>
          <w:szCs w:val="28"/>
        </w:rPr>
        <w:t>ализации муниципальной П</w:t>
      </w:r>
      <w:r w:rsidRPr="00520034">
        <w:rPr>
          <w:b/>
          <w:sz w:val="28"/>
          <w:szCs w:val="28"/>
        </w:rPr>
        <w:t>рограммы и описание мер управления ри</w:t>
      </w:r>
      <w:r>
        <w:rPr>
          <w:b/>
          <w:sz w:val="28"/>
          <w:szCs w:val="28"/>
        </w:rPr>
        <w:t>сками реализации муниципальной П</w:t>
      </w:r>
      <w:r w:rsidRPr="00520034">
        <w:rPr>
          <w:b/>
          <w:sz w:val="28"/>
          <w:szCs w:val="28"/>
        </w:rPr>
        <w:t>рограммы</w:t>
      </w:r>
    </w:p>
    <w:p w:rsidR="00520034" w:rsidRDefault="00520034" w:rsidP="00B46686">
      <w:pPr>
        <w:ind w:firstLine="709"/>
        <w:jc w:val="both"/>
        <w:rPr>
          <w:sz w:val="28"/>
          <w:szCs w:val="28"/>
        </w:rPr>
      </w:pP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В рамках реализации муниципальной программы могут быть выделен</w:t>
      </w:r>
      <w:r w:rsidR="002A035D">
        <w:rPr>
          <w:sz w:val="28"/>
          <w:szCs w:val="28"/>
        </w:rPr>
        <w:t>ы следующие риски ее реализации: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</w:p>
    <w:p w:rsidR="00B46686" w:rsidRPr="00C72317" w:rsidRDefault="00B46686" w:rsidP="00B46686">
      <w:pPr>
        <w:ind w:firstLine="709"/>
        <w:jc w:val="center"/>
        <w:rPr>
          <w:sz w:val="28"/>
          <w:szCs w:val="28"/>
        </w:rPr>
      </w:pPr>
      <w:r w:rsidRPr="00C72317">
        <w:rPr>
          <w:sz w:val="28"/>
          <w:szCs w:val="28"/>
        </w:rPr>
        <w:t>Финансовые риски</w:t>
      </w:r>
    </w:p>
    <w:p w:rsidR="00B46686" w:rsidRPr="00C72317" w:rsidRDefault="00B46686" w:rsidP="00B46686">
      <w:pPr>
        <w:ind w:firstLine="709"/>
        <w:jc w:val="center"/>
        <w:rPr>
          <w:sz w:val="28"/>
          <w:szCs w:val="28"/>
        </w:rPr>
      </w:pP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</w:t>
      </w:r>
      <w:r w:rsidR="00F663C1" w:rsidRPr="00C72317">
        <w:rPr>
          <w:sz w:val="28"/>
          <w:szCs w:val="28"/>
        </w:rPr>
        <w:t xml:space="preserve">нем бюджетного финансирования, </w:t>
      </w:r>
      <w:r w:rsidRPr="00C72317">
        <w:rPr>
          <w:sz w:val="28"/>
          <w:szCs w:val="28"/>
        </w:rPr>
        <w:t>что может повлечь недофинансирование, сокращение или прекращение программных мероприятий.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определение приоритетов для первоочередного финансирования;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привлечение внебюджетного финансирования.</w:t>
      </w:r>
    </w:p>
    <w:p w:rsidR="00B46686" w:rsidRPr="00C72317" w:rsidRDefault="00B46686" w:rsidP="00B46686">
      <w:pPr>
        <w:ind w:firstLine="709"/>
        <w:jc w:val="center"/>
        <w:rPr>
          <w:sz w:val="28"/>
          <w:szCs w:val="28"/>
        </w:rPr>
      </w:pPr>
    </w:p>
    <w:p w:rsidR="00B46686" w:rsidRPr="00C72317" w:rsidRDefault="00B46686" w:rsidP="00B46686">
      <w:pPr>
        <w:ind w:firstLine="709"/>
        <w:jc w:val="center"/>
        <w:rPr>
          <w:sz w:val="28"/>
          <w:szCs w:val="28"/>
        </w:rPr>
      </w:pPr>
      <w:r w:rsidRPr="00C72317">
        <w:rPr>
          <w:sz w:val="28"/>
          <w:szCs w:val="28"/>
        </w:rPr>
        <w:t>Административные риски</w:t>
      </w:r>
    </w:p>
    <w:p w:rsidR="00B46686" w:rsidRPr="00C72317" w:rsidRDefault="00B46686" w:rsidP="00B46686">
      <w:pPr>
        <w:ind w:firstLine="709"/>
        <w:jc w:val="center"/>
        <w:rPr>
          <w:sz w:val="28"/>
          <w:szCs w:val="28"/>
        </w:rPr>
      </w:pP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Риски данной группы связаны с неэффективным управлением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проведение систематического анализа результативности реализации муниципальной программы;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регулярная публикация отчетов о ходе реализации муниципальной программы;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повышение эффективности взаимодействия участников реализации Программы;</w:t>
      </w:r>
    </w:p>
    <w:p w:rsidR="00B46686" w:rsidRPr="00C72317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создание системы мониторингов реализации муниципальной программы;</w:t>
      </w:r>
    </w:p>
    <w:p w:rsidR="00B46686" w:rsidRDefault="00B46686" w:rsidP="00B46686">
      <w:pPr>
        <w:ind w:firstLine="709"/>
        <w:jc w:val="both"/>
        <w:rPr>
          <w:sz w:val="28"/>
          <w:szCs w:val="28"/>
        </w:rPr>
      </w:pPr>
      <w:r w:rsidRPr="00C72317">
        <w:rPr>
          <w:sz w:val="28"/>
          <w:szCs w:val="28"/>
        </w:rPr>
        <w:t>своевременная корректировка мероприятий муниципальной программы.</w:t>
      </w:r>
    </w:p>
    <w:p w:rsidR="00520034" w:rsidRDefault="00520034" w:rsidP="00B46686">
      <w:pPr>
        <w:ind w:firstLine="709"/>
        <w:jc w:val="both"/>
        <w:rPr>
          <w:sz w:val="28"/>
          <w:szCs w:val="28"/>
        </w:rPr>
      </w:pPr>
    </w:p>
    <w:p w:rsidR="00520034" w:rsidRDefault="00520034" w:rsidP="00520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F5" w:rsidRDefault="004967F5" w:rsidP="00520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34" w:rsidRPr="00C72317" w:rsidRDefault="00520034" w:rsidP="00520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C72317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520034" w:rsidRDefault="00520034" w:rsidP="00520034">
      <w:pPr>
        <w:ind w:firstLine="900"/>
        <w:jc w:val="both"/>
        <w:rPr>
          <w:sz w:val="28"/>
          <w:szCs w:val="28"/>
        </w:rPr>
      </w:pPr>
    </w:p>
    <w:p w:rsidR="00520034" w:rsidRPr="00217A08" w:rsidRDefault="00520034" w:rsidP="00520034">
      <w:pPr>
        <w:ind w:firstLine="900"/>
        <w:jc w:val="both"/>
        <w:rPr>
          <w:sz w:val="28"/>
          <w:szCs w:val="28"/>
        </w:rPr>
      </w:pPr>
      <w:r w:rsidRPr="00217A08">
        <w:rPr>
          <w:sz w:val="28"/>
          <w:szCs w:val="28"/>
        </w:rPr>
        <w:t xml:space="preserve">Ответственным исполнителем Программы является отдел </w:t>
      </w:r>
      <w:r>
        <w:rPr>
          <w:sz w:val="28"/>
          <w:szCs w:val="28"/>
        </w:rPr>
        <w:t>АССТ и ЖКХ</w:t>
      </w:r>
      <w:r w:rsidRPr="00217A08">
        <w:rPr>
          <w:sz w:val="28"/>
          <w:szCs w:val="28"/>
        </w:rPr>
        <w:t xml:space="preserve"> администрации Казачинско-Ленского муниципального района, который с целью реализации данной Программы в соответствии с действующим законодательством:</w:t>
      </w:r>
    </w:p>
    <w:p w:rsidR="00520034" w:rsidRPr="00217A08" w:rsidRDefault="00520034" w:rsidP="00520034">
      <w:pPr>
        <w:ind w:firstLine="900"/>
        <w:jc w:val="both"/>
        <w:rPr>
          <w:sz w:val="28"/>
          <w:szCs w:val="28"/>
        </w:rPr>
      </w:pPr>
      <w:r w:rsidRPr="00217A08">
        <w:rPr>
          <w:sz w:val="28"/>
          <w:szCs w:val="28"/>
        </w:rPr>
        <w:t>-  осуществляет контроль за ходом реализации Программы;</w:t>
      </w:r>
    </w:p>
    <w:p w:rsidR="00520034" w:rsidRPr="00217A08" w:rsidRDefault="00520034" w:rsidP="00520034">
      <w:pPr>
        <w:ind w:firstLine="900"/>
        <w:jc w:val="both"/>
        <w:rPr>
          <w:sz w:val="28"/>
          <w:szCs w:val="28"/>
        </w:rPr>
      </w:pPr>
      <w:r w:rsidRPr="00217A08">
        <w:rPr>
          <w:sz w:val="28"/>
          <w:szCs w:val="28"/>
        </w:rPr>
        <w:t>- готовит в установленном порядке проекты договоров и соглашений с исполнителями;</w:t>
      </w:r>
    </w:p>
    <w:p w:rsidR="00520034" w:rsidRPr="00217A08" w:rsidRDefault="00520034" w:rsidP="00520034">
      <w:pPr>
        <w:ind w:firstLine="900"/>
        <w:jc w:val="both"/>
        <w:rPr>
          <w:sz w:val="28"/>
          <w:szCs w:val="28"/>
        </w:rPr>
      </w:pPr>
      <w:r w:rsidRPr="00217A08">
        <w:rPr>
          <w:sz w:val="28"/>
          <w:szCs w:val="28"/>
        </w:rPr>
        <w:t>- осуществляет подготовку проектов нормативных правовых актов;</w:t>
      </w:r>
    </w:p>
    <w:p w:rsidR="00520034" w:rsidRPr="00217A08" w:rsidRDefault="00520034" w:rsidP="00520034">
      <w:pPr>
        <w:ind w:firstLine="900"/>
        <w:jc w:val="both"/>
        <w:rPr>
          <w:sz w:val="28"/>
          <w:szCs w:val="28"/>
        </w:rPr>
      </w:pPr>
      <w:r w:rsidRPr="00217A08">
        <w:rPr>
          <w:sz w:val="28"/>
          <w:szCs w:val="28"/>
        </w:rPr>
        <w:t>- 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520034" w:rsidRDefault="00520034" w:rsidP="00520034">
      <w:pPr>
        <w:ind w:firstLine="900"/>
        <w:jc w:val="both"/>
        <w:rPr>
          <w:sz w:val="28"/>
          <w:szCs w:val="28"/>
        </w:rPr>
      </w:pPr>
      <w:r w:rsidRPr="00217A08">
        <w:rPr>
          <w:sz w:val="28"/>
          <w:szCs w:val="28"/>
        </w:rPr>
        <w:t>- осуществляет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520034" w:rsidRPr="00C72317" w:rsidRDefault="00520034" w:rsidP="00B46686">
      <w:pPr>
        <w:ind w:firstLine="709"/>
        <w:jc w:val="both"/>
        <w:rPr>
          <w:sz w:val="28"/>
          <w:szCs w:val="28"/>
        </w:rPr>
      </w:pPr>
    </w:p>
    <w:p w:rsidR="00B46686" w:rsidRPr="00C72317" w:rsidRDefault="00B46686" w:rsidP="000C3A3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84E7B" w:rsidRPr="00C72317" w:rsidRDefault="00BD2F1B" w:rsidP="0097611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4E7B" w:rsidRPr="00C72317">
        <w:rPr>
          <w:rFonts w:ascii="Times New Roman" w:hAnsi="Times New Roman" w:cs="Times New Roman"/>
          <w:b/>
          <w:sz w:val="28"/>
          <w:szCs w:val="28"/>
        </w:rPr>
        <w:t>.  Ожидаемые конечные результаты реализации Программы</w:t>
      </w:r>
    </w:p>
    <w:p w:rsidR="00884E7B" w:rsidRPr="00C72317" w:rsidRDefault="00884E7B" w:rsidP="00976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19" w:rsidRPr="00C72317" w:rsidRDefault="00976119" w:rsidP="00976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17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235191" w:rsidRPr="00C72317" w:rsidRDefault="00235191" w:rsidP="00CE55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3851" w:rsidRDefault="00153851" w:rsidP="0015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72317">
        <w:rPr>
          <w:sz w:val="28"/>
          <w:szCs w:val="28"/>
        </w:rPr>
        <w:t xml:space="preserve">оличество перевезенных человек </w:t>
      </w:r>
      <w:r w:rsidR="00BB3E90">
        <w:rPr>
          <w:sz w:val="28"/>
          <w:szCs w:val="28"/>
        </w:rPr>
        <w:t>аэроглиссером (аэросанями-амфибией)</w:t>
      </w:r>
      <w:r>
        <w:rPr>
          <w:sz w:val="28"/>
          <w:szCs w:val="28"/>
        </w:rPr>
        <w:t>–от 50</w:t>
      </w:r>
      <w:r w:rsidRPr="00C72317">
        <w:rPr>
          <w:sz w:val="28"/>
          <w:szCs w:val="28"/>
        </w:rPr>
        <w:t xml:space="preserve"> чел. в</w:t>
      </w:r>
      <w:r>
        <w:rPr>
          <w:sz w:val="28"/>
          <w:szCs w:val="28"/>
        </w:rPr>
        <w:t xml:space="preserve"> 2017</w:t>
      </w:r>
      <w:r w:rsidRPr="00C72317">
        <w:rPr>
          <w:sz w:val="28"/>
          <w:szCs w:val="28"/>
        </w:rPr>
        <w:t xml:space="preserve"> год</w:t>
      </w:r>
      <w:r w:rsidR="003D4616">
        <w:rPr>
          <w:sz w:val="28"/>
          <w:szCs w:val="28"/>
        </w:rPr>
        <w:t>, до 10</w:t>
      </w:r>
      <w:r>
        <w:rPr>
          <w:sz w:val="28"/>
          <w:szCs w:val="28"/>
        </w:rPr>
        <w:t>0 чел. к 2019 году;</w:t>
      </w:r>
    </w:p>
    <w:p w:rsidR="00153851" w:rsidRDefault="00153851" w:rsidP="0015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обслуженных воздушных судов </w:t>
      </w:r>
      <w:r w:rsidR="003D4616">
        <w:rPr>
          <w:sz w:val="28"/>
          <w:szCs w:val="28"/>
        </w:rPr>
        <w:t xml:space="preserve">–от 104 судов в 2017 году до </w:t>
      </w:r>
      <w:r>
        <w:rPr>
          <w:sz w:val="28"/>
          <w:szCs w:val="28"/>
        </w:rPr>
        <w:t>234</w:t>
      </w:r>
      <w:r w:rsidR="003D4616">
        <w:rPr>
          <w:sz w:val="28"/>
          <w:szCs w:val="28"/>
        </w:rPr>
        <w:t>судов</w:t>
      </w:r>
      <w:r w:rsidR="005324C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5324C0">
        <w:rPr>
          <w:sz w:val="28"/>
          <w:szCs w:val="28"/>
        </w:rPr>
        <w:t>у</w:t>
      </w:r>
      <w:r w:rsidRPr="00EF4681">
        <w:rPr>
          <w:sz w:val="28"/>
          <w:szCs w:val="28"/>
        </w:rPr>
        <w:t>;</w:t>
      </w:r>
      <w:r>
        <w:rPr>
          <w:sz w:val="28"/>
          <w:szCs w:val="28"/>
        </w:rPr>
        <w:t xml:space="preserve">  </w:t>
      </w:r>
    </w:p>
    <w:p w:rsidR="00153851" w:rsidRDefault="00153851" w:rsidP="0015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пассажироперевозок воздушными судами </w:t>
      </w:r>
      <w:r w:rsidR="003D4616">
        <w:rPr>
          <w:sz w:val="28"/>
          <w:szCs w:val="28"/>
        </w:rPr>
        <w:t xml:space="preserve">–от 1768 чел. в 2017 году до </w:t>
      </w:r>
      <w:r>
        <w:rPr>
          <w:sz w:val="28"/>
          <w:szCs w:val="28"/>
        </w:rPr>
        <w:t>7020</w:t>
      </w:r>
      <w:r w:rsidR="005324C0">
        <w:rPr>
          <w:sz w:val="28"/>
          <w:szCs w:val="28"/>
        </w:rPr>
        <w:t xml:space="preserve"> чел. к 2019</w:t>
      </w:r>
      <w:r w:rsidR="002A035D">
        <w:rPr>
          <w:sz w:val="28"/>
          <w:szCs w:val="28"/>
        </w:rPr>
        <w:t xml:space="preserve"> год</w:t>
      </w:r>
      <w:r w:rsidR="005324C0">
        <w:rPr>
          <w:sz w:val="28"/>
          <w:szCs w:val="28"/>
        </w:rPr>
        <w:t>у</w:t>
      </w:r>
      <w:r w:rsidR="002A035D">
        <w:rPr>
          <w:sz w:val="28"/>
          <w:szCs w:val="28"/>
        </w:rPr>
        <w:t>.</w:t>
      </w:r>
    </w:p>
    <w:p w:rsidR="00CE55AB" w:rsidRPr="00C72317" w:rsidRDefault="00CE55AB" w:rsidP="007E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5AB" w:rsidRPr="00C72317" w:rsidRDefault="00CE55AB" w:rsidP="007E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5AB" w:rsidRPr="00C72317" w:rsidRDefault="00CE55AB" w:rsidP="007E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317" w:rsidRDefault="00CE55AB" w:rsidP="007E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317">
        <w:rPr>
          <w:rFonts w:ascii="Times New Roman" w:hAnsi="Times New Roman" w:cs="Times New Roman"/>
          <w:sz w:val="28"/>
          <w:szCs w:val="28"/>
        </w:rPr>
        <w:t>З</w:t>
      </w:r>
      <w:r w:rsidR="004967F5">
        <w:rPr>
          <w:rFonts w:ascii="Times New Roman" w:hAnsi="Times New Roman" w:cs="Times New Roman"/>
          <w:sz w:val="28"/>
          <w:szCs w:val="28"/>
        </w:rPr>
        <w:t>аведующий</w:t>
      </w:r>
      <w:r w:rsidRPr="00C72317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C72317" w:rsidRDefault="00B46686" w:rsidP="007E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317">
        <w:rPr>
          <w:rFonts w:ascii="Times New Roman" w:hAnsi="Times New Roman" w:cs="Times New Roman"/>
          <w:sz w:val="28"/>
          <w:szCs w:val="28"/>
        </w:rPr>
        <w:t xml:space="preserve">АССТи ЖКХ администрации </w:t>
      </w:r>
    </w:p>
    <w:p w:rsidR="00B46686" w:rsidRPr="00C72317" w:rsidRDefault="00B46686" w:rsidP="007E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317">
        <w:rPr>
          <w:rFonts w:ascii="Times New Roman" w:hAnsi="Times New Roman" w:cs="Times New Roman"/>
          <w:sz w:val="28"/>
          <w:szCs w:val="28"/>
        </w:rPr>
        <w:t>Казачинско-Ленского</w:t>
      </w:r>
    </w:p>
    <w:p w:rsidR="007E7F4E" w:rsidRPr="00C72317" w:rsidRDefault="00B46686" w:rsidP="007E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3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72317">
        <w:rPr>
          <w:rFonts w:ascii="Times New Roman" w:hAnsi="Times New Roman" w:cs="Times New Roman"/>
          <w:sz w:val="28"/>
          <w:szCs w:val="28"/>
        </w:rPr>
        <w:tab/>
      </w:r>
      <w:r w:rsidRPr="00C72317">
        <w:rPr>
          <w:rFonts w:ascii="Times New Roman" w:hAnsi="Times New Roman" w:cs="Times New Roman"/>
          <w:sz w:val="28"/>
          <w:szCs w:val="28"/>
        </w:rPr>
        <w:tab/>
      </w:r>
      <w:r w:rsidRPr="00C72317">
        <w:rPr>
          <w:rFonts w:ascii="Times New Roman" w:hAnsi="Times New Roman" w:cs="Times New Roman"/>
          <w:sz w:val="28"/>
          <w:szCs w:val="28"/>
        </w:rPr>
        <w:tab/>
      </w:r>
      <w:r w:rsidRPr="00C72317">
        <w:rPr>
          <w:rFonts w:ascii="Times New Roman" w:hAnsi="Times New Roman" w:cs="Times New Roman"/>
          <w:sz w:val="28"/>
          <w:szCs w:val="28"/>
        </w:rPr>
        <w:tab/>
      </w:r>
      <w:r w:rsidRPr="00C72317">
        <w:rPr>
          <w:rFonts w:ascii="Times New Roman" w:hAnsi="Times New Roman" w:cs="Times New Roman"/>
          <w:sz w:val="28"/>
          <w:szCs w:val="28"/>
        </w:rPr>
        <w:tab/>
      </w:r>
      <w:r w:rsidRPr="00C72317">
        <w:rPr>
          <w:rFonts w:ascii="Times New Roman" w:hAnsi="Times New Roman" w:cs="Times New Roman"/>
          <w:sz w:val="28"/>
          <w:szCs w:val="28"/>
        </w:rPr>
        <w:tab/>
      </w:r>
      <w:r w:rsidR="00CE55AB" w:rsidRPr="00C72317">
        <w:rPr>
          <w:rFonts w:ascii="Times New Roman" w:hAnsi="Times New Roman" w:cs="Times New Roman"/>
          <w:sz w:val="28"/>
          <w:szCs w:val="28"/>
        </w:rPr>
        <w:t xml:space="preserve"> Р.А.Образцов</w:t>
      </w:r>
    </w:p>
    <w:sectPr w:rsidR="007E7F4E" w:rsidRPr="00C72317" w:rsidSect="00A05C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87" w:rsidRDefault="00F61A87" w:rsidP="00C72317">
      <w:r>
        <w:separator/>
      </w:r>
    </w:p>
  </w:endnote>
  <w:endnote w:type="continuationSeparator" w:id="1">
    <w:p w:rsidR="00F61A87" w:rsidRDefault="00F61A87" w:rsidP="00C7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87" w:rsidRDefault="00F61A87" w:rsidP="00C72317">
      <w:r>
        <w:separator/>
      </w:r>
    </w:p>
  </w:footnote>
  <w:footnote w:type="continuationSeparator" w:id="1">
    <w:p w:rsidR="00F61A87" w:rsidRDefault="00F61A87" w:rsidP="00C72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586F05"/>
    <w:multiLevelType w:val="hybridMultilevel"/>
    <w:tmpl w:val="06E6F63A"/>
    <w:lvl w:ilvl="0" w:tplc="8DB84F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4F6A"/>
    <w:multiLevelType w:val="hybridMultilevel"/>
    <w:tmpl w:val="BED80C90"/>
    <w:lvl w:ilvl="0" w:tplc="A70858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D38"/>
    <w:rsid w:val="000104CD"/>
    <w:rsid w:val="00023682"/>
    <w:rsid w:val="000327C5"/>
    <w:rsid w:val="00032A01"/>
    <w:rsid w:val="0003643E"/>
    <w:rsid w:val="00043A24"/>
    <w:rsid w:val="00053902"/>
    <w:rsid w:val="0008093E"/>
    <w:rsid w:val="0008167C"/>
    <w:rsid w:val="00081747"/>
    <w:rsid w:val="00082DC8"/>
    <w:rsid w:val="00083B1A"/>
    <w:rsid w:val="00090C88"/>
    <w:rsid w:val="00093B30"/>
    <w:rsid w:val="000B51A3"/>
    <w:rsid w:val="000B7001"/>
    <w:rsid w:val="000C3A3C"/>
    <w:rsid w:val="000C7C30"/>
    <w:rsid w:val="000D7F80"/>
    <w:rsid w:val="000E1AC0"/>
    <w:rsid w:val="000E711D"/>
    <w:rsid w:val="000F19D7"/>
    <w:rsid w:val="000F6EE6"/>
    <w:rsid w:val="00101015"/>
    <w:rsid w:val="00104B82"/>
    <w:rsid w:val="0010590D"/>
    <w:rsid w:val="00106FE9"/>
    <w:rsid w:val="00116F17"/>
    <w:rsid w:val="00121AFF"/>
    <w:rsid w:val="001251D7"/>
    <w:rsid w:val="001479E2"/>
    <w:rsid w:val="00150B3D"/>
    <w:rsid w:val="00153851"/>
    <w:rsid w:val="00155876"/>
    <w:rsid w:val="001624DE"/>
    <w:rsid w:val="001652AB"/>
    <w:rsid w:val="001668C6"/>
    <w:rsid w:val="00171232"/>
    <w:rsid w:val="00181ED1"/>
    <w:rsid w:val="00185E60"/>
    <w:rsid w:val="00186528"/>
    <w:rsid w:val="001921C0"/>
    <w:rsid w:val="00192553"/>
    <w:rsid w:val="00195D60"/>
    <w:rsid w:val="001A5BDB"/>
    <w:rsid w:val="001A6866"/>
    <w:rsid w:val="001B7F8B"/>
    <w:rsid w:val="001C3DFC"/>
    <w:rsid w:val="001C6763"/>
    <w:rsid w:val="001D3AF2"/>
    <w:rsid w:val="001D48D7"/>
    <w:rsid w:val="001E0AA0"/>
    <w:rsid w:val="001E1679"/>
    <w:rsid w:val="001E5E0E"/>
    <w:rsid w:val="0020407C"/>
    <w:rsid w:val="00204803"/>
    <w:rsid w:val="002057AA"/>
    <w:rsid w:val="002066B3"/>
    <w:rsid w:val="00212CFD"/>
    <w:rsid w:val="002138BE"/>
    <w:rsid w:val="002203E2"/>
    <w:rsid w:val="0022213D"/>
    <w:rsid w:val="00230C78"/>
    <w:rsid w:val="00232D44"/>
    <w:rsid w:val="002349F8"/>
    <w:rsid w:val="00235191"/>
    <w:rsid w:val="00235FC1"/>
    <w:rsid w:val="00236B9C"/>
    <w:rsid w:val="0024509D"/>
    <w:rsid w:val="00246286"/>
    <w:rsid w:val="00251C0A"/>
    <w:rsid w:val="00253A4A"/>
    <w:rsid w:val="00266C9F"/>
    <w:rsid w:val="00273E7B"/>
    <w:rsid w:val="002817A1"/>
    <w:rsid w:val="0028527C"/>
    <w:rsid w:val="00290360"/>
    <w:rsid w:val="00293677"/>
    <w:rsid w:val="00296C0B"/>
    <w:rsid w:val="002A035D"/>
    <w:rsid w:val="002A3BCF"/>
    <w:rsid w:val="002A61B8"/>
    <w:rsid w:val="002B2263"/>
    <w:rsid w:val="002B4A88"/>
    <w:rsid w:val="002B5D72"/>
    <w:rsid w:val="002B5E40"/>
    <w:rsid w:val="002C466B"/>
    <w:rsid w:val="002E09B6"/>
    <w:rsid w:val="002E2459"/>
    <w:rsid w:val="002E2758"/>
    <w:rsid w:val="002E4146"/>
    <w:rsid w:val="002E4BF8"/>
    <w:rsid w:val="002E7172"/>
    <w:rsid w:val="002F2B37"/>
    <w:rsid w:val="003021DF"/>
    <w:rsid w:val="00304547"/>
    <w:rsid w:val="00304A10"/>
    <w:rsid w:val="00306ACC"/>
    <w:rsid w:val="003154CB"/>
    <w:rsid w:val="00321C24"/>
    <w:rsid w:val="003234B7"/>
    <w:rsid w:val="00331129"/>
    <w:rsid w:val="003345A0"/>
    <w:rsid w:val="00335E5C"/>
    <w:rsid w:val="00336666"/>
    <w:rsid w:val="0034494B"/>
    <w:rsid w:val="003504F9"/>
    <w:rsid w:val="00351D00"/>
    <w:rsid w:val="00355E26"/>
    <w:rsid w:val="00356C00"/>
    <w:rsid w:val="0035783D"/>
    <w:rsid w:val="003620B6"/>
    <w:rsid w:val="00363A14"/>
    <w:rsid w:val="00366803"/>
    <w:rsid w:val="00380E35"/>
    <w:rsid w:val="003824D4"/>
    <w:rsid w:val="0039583C"/>
    <w:rsid w:val="003A1043"/>
    <w:rsid w:val="003A28D6"/>
    <w:rsid w:val="003B7556"/>
    <w:rsid w:val="003C7AA3"/>
    <w:rsid w:val="003D1CCE"/>
    <w:rsid w:val="003D4616"/>
    <w:rsid w:val="003D4C53"/>
    <w:rsid w:val="003D5578"/>
    <w:rsid w:val="003E1FF5"/>
    <w:rsid w:val="003E325D"/>
    <w:rsid w:val="003E79B5"/>
    <w:rsid w:val="003F0916"/>
    <w:rsid w:val="003F415E"/>
    <w:rsid w:val="003F6011"/>
    <w:rsid w:val="003F76F3"/>
    <w:rsid w:val="004013F2"/>
    <w:rsid w:val="0040194A"/>
    <w:rsid w:val="00423978"/>
    <w:rsid w:val="00436DB7"/>
    <w:rsid w:val="00460478"/>
    <w:rsid w:val="004709F9"/>
    <w:rsid w:val="00492A4B"/>
    <w:rsid w:val="004967F5"/>
    <w:rsid w:val="00497BB8"/>
    <w:rsid w:val="004A1384"/>
    <w:rsid w:val="004A1974"/>
    <w:rsid w:val="004A7AE2"/>
    <w:rsid w:val="004B0173"/>
    <w:rsid w:val="004D0902"/>
    <w:rsid w:val="004D0DD0"/>
    <w:rsid w:val="004E0521"/>
    <w:rsid w:val="004E3118"/>
    <w:rsid w:val="004E7FDF"/>
    <w:rsid w:val="004F2E09"/>
    <w:rsid w:val="00505357"/>
    <w:rsid w:val="00511A1B"/>
    <w:rsid w:val="00517D42"/>
    <w:rsid w:val="00520034"/>
    <w:rsid w:val="00525661"/>
    <w:rsid w:val="005324C0"/>
    <w:rsid w:val="00533EED"/>
    <w:rsid w:val="00542217"/>
    <w:rsid w:val="0054600A"/>
    <w:rsid w:val="00551831"/>
    <w:rsid w:val="00551FFD"/>
    <w:rsid w:val="0055309F"/>
    <w:rsid w:val="00562EDB"/>
    <w:rsid w:val="00563FD7"/>
    <w:rsid w:val="00567FAD"/>
    <w:rsid w:val="00570FA8"/>
    <w:rsid w:val="005714C7"/>
    <w:rsid w:val="00572321"/>
    <w:rsid w:val="00582FB8"/>
    <w:rsid w:val="00586A8B"/>
    <w:rsid w:val="0059583F"/>
    <w:rsid w:val="0059666A"/>
    <w:rsid w:val="005A0481"/>
    <w:rsid w:val="005A3EF1"/>
    <w:rsid w:val="005A47C7"/>
    <w:rsid w:val="005C6053"/>
    <w:rsid w:val="005C66EF"/>
    <w:rsid w:val="005C7A7F"/>
    <w:rsid w:val="005D0F47"/>
    <w:rsid w:val="005D537D"/>
    <w:rsid w:val="005E4E52"/>
    <w:rsid w:val="005F47E5"/>
    <w:rsid w:val="005F5141"/>
    <w:rsid w:val="005F76D8"/>
    <w:rsid w:val="00605179"/>
    <w:rsid w:val="006064EB"/>
    <w:rsid w:val="006132C4"/>
    <w:rsid w:val="00617E40"/>
    <w:rsid w:val="00625BB6"/>
    <w:rsid w:val="00625C23"/>
    <w:rsid w:val="00626B55"/>
    <w:rsid w:val="00634B2F"/>
    <w:rsid w:val="00652611"/>
    <w:rsid w:val="006540EB"/>
    <w:rsid w:val="0066191A"/>
    <w:rsid w:val="00671D78"/>
    <w:rsid w:val="006734F0"/>
    <w:rsid w:val="00675B29"/>
    <w:rsid w:val="006A79AC"/>
    <w:rsid w:val="006B6E57"/>
    <w:rsid w:val="006C1984"/>
    <w:rsid w:val="006E28EF"/>
    <w:rsid w:val="006E2DA6"/>
    <w:rsid w:val="006E3707"/>
    <w:rsid w:val="006F0F30"/>
    <w:rsid w:val="006F19EF"/>
    <w:rsid w:val="006F4B56"/>
    <w:rsid w:val="007010C1"/>
    <w:rsid w:val="007137D0"/>
    <w:rsid w:val="00720ED1"/>
    <w:rsid w:val="00721940"/>
    <w:rsid w:val="00725C10"/>
    <w:rsid w:val="00725E23"/>
    <w:rsid w:val="007338ED"/>
    <w:rsid w:val="00740485"/>
    <w:rsid w:val="00741E22"/>
    <w:rsid w:val="0074345E"/>
    <w:rsid w:val="007457E0"/>
    <w:rsid w:val="0074719A"/>
    <w:rsid w:val="00764FD5"/>
    <w:rsid w:val="007720B8"/>
    <w:rsid w:val="00781C25"/>
    <w:rsid w:val="00791434"/>
    <w:rsid w:val="007918D6"/>
    <w:rsid w:val="007926BA"/>
    <w:rsid w:val="00793566"/>
    <w:rsid w:val="00795217"/>
    <w:rsid w:val="007A00AD"/>
    <w:rsid w:val="007B1FA2"/>
    <w:rsid w:val="007C4BFB"/>
    <w:rsid w:val="007C4FFD"/>
    <w:rsid w:val="007D3F8D"/>
    <w:rsid w:val="007D7D38"/>
    <w:rsid w:val="007D7E99"/>
    <w:rsid w:val="007E2F1E"/>
    <w:rsid w:val="007E391A"/>
    <w:rsid w:val="007E7F4E"/>
    <w:rsid w:val="007F1708"/>
    <w:rsid w:val="007F5EB6"/>
    <w:rsid w:val="00805167"/>
    <w:rsid w:val="00805F57"/>
    <w:rsid w:val="008068F7"/>
    <w:rsid w:val="00814BD4"/>
    <w:rsid w:val="008151A1"/>
    <w:rsid w:val="00815D72"/>
    <w:rsid w:val="0081707D"/>
    <w:rsid w:val="008210DF"/>
    <w:rsid w:val="00825021"/>
    <w:rsid w:val="00827198"/>
    <w:rsid w:val="00847F23"/>
    <w:rsid w:val="00860AC4"/>
    <w:rsid w:val="0086503D"/>
    <w:rsid w:val="00870521"/>
    <w:rsid w:val="00872862"/>
    <w:rsid w:val="0087430F"/>
    <w:rsid w:val="00880E2E"/>
    <w:rsid w:val="00884E7B"/>
    <w:rsid w:val="00892F00"/>
    <w:rsid w:val="008946F2"/>
    <w:rsid w:val="008A1D40"/>
    <w:rsid w:val="008A3602"/>
    <w:rsid w:val="008C0BAF"/>
    <w:rsid w:val="008D0587"/>
    <w:rsid w:val="008D364D"/>
    <w:rsid w:val="008D4232"/>
    <w:rsid w:val="008D4CB2"/>
    <w:rsid w:val="008E0870"/>
    <w:rsid w:val="00901E67"/>
    <w:rsid w:val="00904E44"/>
    <w:rsid w:val="00912C4F"/>
    <w:rsid w:val="00924789"/>
    <w:rsid w:val="00934CA7"/>
    <w:rsid w:val="0093567B"/>
    <w:rsid w:val="009406A3"/>
    <w:rsid w:val="00941E36"/>
    <w:rsid w:val="009473F1"/>
    <w:rsid w:val="009574EF"/>
    <w:rsid w:val="00957C9B"/>
    <w:rsid w:val="009676BE"/>
    <w:rsid w:val="00970F0D"/>
    <w:rsid w:val="00976119"/>
    <w:rsid w:val="00984350"/>
    <w:rsid w:val="009A494A"/>
    <w:rsid w:val="009B40F5"/>
    <w:rsid w:val="009D6DD4"/>
    <w:rsid w:val="009F2795"/>
    <w:rsid w:val="009F6A99"/>
    <w:rsid w:val="009F780D"/>
    <w:rsid w:val="00A05C57"/>
    <w:rsid w:val="00A16C86"/>
    <w:rsid w:val="00A17D75"/>
    <w:rsid w:val="00A274ED"/>
    <w:rsid w:val="00A27FD7"/>
    <w:rsid w:val="00A33FC5"/>
    <w:rsid w:val="00A405C2"/>
    <w:rsid w:val="00A41FFA"/>
    <w:rsid w:val="00A45B85"/>
    <w:rsid w:val="00A47424"/>
    <w:rsid w:val="00A662C8"/>
    <w:rsid w:val="00AA3AAB"/>
    <w:rsid w:val="00AA75E7"/>
    <w:rsid w:val="00AB2490"/>
    <w:rsid w:val="00AB2640"/>
    <w:rsid w:val="00AB2AF1"/>
    <w:rsid w:val="00AD295E"/>
    <w:rsid w:val="00AD4112"/>
    <w:rsid w:val="00AD4622"/>
    <w:rsid w:val="00AD5A5E"/>
    <w:rsid w:val="00AD7029"/>
    <w:rsid w:val="00AD7DD2"/>
    <w:rsid w:val="00AE3287"/>
    <w:rsid w:val="00AE51EF"/>
    <w:rsid w:val="00AE7F9F"/>
    <w:rsid w:val="00AF6218"/>
    <w:rsid w:val="00B03930"/>
    <w:rsid w:val="00B063A0"/>
    <w:rsid w:val="00B078EB"/>
    <w:rsid w:val="00B14D24"/>
    <w:rsid w:val="00B17B9C"/>
    <w:rsid w:val="00B20B14"/>
    <w:rsid w:val="00B21886"/>
    <w:rsid w:val="00B25BF9"/>
    <w:rsid w:val="00B25D8A"/>
    <w:rsid w:val="00B27027"/>
    <w:rsid w:val="00B34004"/>
    <w:rsid w:val="00B3645B"/>
    <w:rsid w:val="00B45D16"/>
    <w:rsid w:val="00B46686"/>
    <w:rsid w:val="00B50056"/>
    <w:rsid w:val="00B5324F"/>
    <w:rsid w:val="00B57B74"/>
    <w:rsid w:val="00B66725"/>
    <w:rsid w:val="00B75767"/>
    <w:rsid w:val="00B75F5C"/>
    <w:rsid w:val="00B903D1"/>
    <w:rsid w:val="00B9416B"/>
    <w:rsid w:val="00B9553A"/>
    <w:rsid w:val="00B97BD8"/>
    <w:rsid w:val="00BA0588"/>
    <w:rsid w:val="00BA7FF1"/>
    <w:rsid w:val="00BB3E90"/>
    <w:rsid w:val="00BC1779"/>
    <w:rsid w:val="00BC34A0"/>
    <w:rsid w:val="00BC6DC5"/>
    <w:rsid w:val="00BD192F"/>
    <w:rsid w:val="00BD2F1B"/>
    <w:rsid w:val="00BE31E1"/>
    <w:rsid w:val="00BE5F4D"/>
    <w:rsid w:val="00BF0B00"/>
    <w:rsid w:val="00BF0F32"/>
    <w:rsid w:val="00BF330F"/>
    <w:rsid w:val="00BF5025"/>
    <w:rsid w:val="00BF72CB"/>
    <w:rsid w:val="00C0475E"/>
    <w:rsid w:val="00C20881"/>
    <w:rsid w:val="00C25B29"/>
    <w:rsid w:val="00C3025D"/>
    <w:rsid w:val="00C320B7"/>
    <w:rsid w:val="00C33020"/>
    <w:rsid w:val="00C347E9"/>
    <w:rsid w:val="00C43A50"/>
    <w:rsid w:val="00C50D04"/>
    <w:rsid w:val="00C53D5A"/>
    <w:rsid w:val="00C65009"/>
    <w:rsid w:val="00C65177"/>
    <w:rsid w:val="00C657BD"/>
    <w:rsid w:val="00C679DD"/>
    <w:rsid w:val="00C72317"/>
    <w:rsid w:val="00C7336F"/>
    <w:rsid w:val="00C74007"/>
    <w:rsid w:val="00C81179"/>
    <w:rsid w:val="00C82072"/>
    <w:rsid w:val="00C87ED4"/>
    <w:rsid w:val="00C94AE0"/>
    <w:rsid w:val="00CA0BF6"/>
    <w:rsid w:val="00CA578D"/>
    <w:rsid w:val="00CA698A"/>
    <w:rsid w:val="00CB7496"/>
    <w:rsid w:val="00CB7987"/>
    <w:rsid w:val="00CC341D"/>
    <w:rsid w:val="00CE3922"/>
    <w:rsid w:val="00CE55AB"/>
    <w:rsid w:val="00CE6846"/>
    <w:rsid w:val="00CF31E8"/>
    <w:rsid w:val="00CF3D1F"/>
    <w:rsid w:val="00D20DCD"/>
    <w:rsid w:val="00D22892"/>
    <w:rsid w:val="00D55345"/>
    <w:rsid w:val="00D56A9E"/>
    <w:rsid w:val="00D62995"/>
    <w:rsid w:val="00D64EB9"/>
    <w:rsid w:val="00D80E77"/>
    <w:rsid w:val="00D86265"/>
    <w:rsid w:val="00D87F54"/>
    <w:rsid w:val="00DA5336"/>
    <w:rsid w:val="00DA5BD0"/>
    <w:rsid w:val="00DB1284"/>
    <w:rsid w:val="00DB6B48"/>
    <w:rsid w:val="00DC190D"/>
    <w:rsid w:val="00DC6DEA"/>
    <w:rsid w:val="00DD7EB2"/>
    <w:rsid w:val="00DE00A6"/>
    <w:rsid w:val="00DE6F11"/>
    <w:rsid w:val="00DF5CE4"/>
    <w:rsid w:val="00E05258"/>
    <w:rsid w:val="00E05806"/>
    <w:rsid w:val="00E06B83"/>
    <w:rsid w:val="00E1500C"/>
    <w:rsid w:val="00E202B1"/>
    <w:rsid w:val="00E25460"/>
    <w:rsid w:val="00E2652F"/>
    <w:rsid w:val="00E41FD9"/>
    <w:rsid w:val="00E45FC1"/>
    <w:rsid w:val="00E524D2"/>
    <w:rsid w:val="00E54FEF"/>
    <w:rsid w:val="00E567B9"/>
    <w:rsid w:val="00E57574"/>
    <w:rsid w:val="00E62F50"/>
    <w:rsid w:val="00E67C69"/>
    <w:rsid w:val="00E74286"/>
    <w:rsid w:val="00E74719"/>
    <w:rsid w:val="00E7486F"/>
    <w:rsid w:val="00E77B8F"/>
    <w:rsid w:val="00E8083D"/>
    <w:rsid w:val="00E81BBE"/>
    <w:rsid w:val="00E8339F"/>
    <w:rsid w:val="00E923CE"/>
    <w:rsid w:val="00E92917"/>
    <w:rsid w:val="00E94B06"/>
    <w:rsid w:val="00E96598"/>
    <w:rsid w:val="00E96D3C"/>
    <w:rsid w:val="00E97DCA"/>
    <w:rsid w:val="00EA233B"/>
    <w:rsid w:val="00EC2CC5"/>
    <w:rsid w:val="00EC332E"/>
    <w:rsid w:val="00ED2BC1"/>
    <w:rsid w:val="00ED566E"/>
    <w:rsid w:val="00EF1205"/>
    <w:rsid w:val="00EF4676"/>
    <w:rsid w:val="00EF4681"/>
    <w:rsid w:val="00EF596A"/>
    <w:rsid w:val="00EF73F3"/>
    <w:rsid w:val="00F01DEA"/>
    <w:rsid w:val="00F0237F"/>
    <w:rsid w:val="00F06BDA"/>
    <w:rsid w:val="00F07257"/>
    <w:rsid w:val="00F11FFC"/>
    <w:rsid w:val="00F12E8D"/>
    <w:rsid w:val="00F3422C"/>
    <w:rsid w:val="00F35FC8"/>
    <w:rsid w:val="00F37802"/>
    <w:rsid w:val="00F5368F"/>
    <w:rsid w:val="00F54126"/>
    <w:rsid w:val="00F61A87"/>
    <w:rsid w:val="00F663C1"/>
    <w:rsid w:val="00F7547E"/>
    <w:rsid w:val="00F761B4"/>
    <w:rsid w:val="00FB25FC"/>
    <w:rsid w:val="00FC265D"/>
    <w:rsid w:val="00FC5422"/>
    <w:rsid w:val="00FD3400"/>
    <w:rsid w:val="00FD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F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3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F46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C50D04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E28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3EF1"/>
    <w:rPr>
      <w:b/>
      <w:bCs/>
      <w:sz w:val="36"/>
      <w:szCs w:val="24"/>
    </w:rPr>
  </w:style>
  <w:style w:type="paragraph" w:styleId="a6">
    <w:name w:val="Title"/>
    <w:basedOn w:val="a"/>
    <w:link w:val="a7"/>
    <w:qFormat/>
    <w:rsid w:val="005A3EF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A3EF1"/>
    <w:rPr>
      <w:sz w:val="28"/>
      <w:szCs w:val="24"/>
    </w:rPr>
  </w:style>
  <w:style w:type="paragraph" w:customStyle="1" w:styleId="formattexttopleveltext">
    <w:name w:val="formattext topleveltext"/>
    <w:basedOn w:val="a"/>
    <w:rsid w:val="006F4B56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5714C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C72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2317"/>
    <w:rPr>
      <w:sz w:val="24"/>
      <w:szCs w:val="24"/>
    </w:rPr>
  </w:style>
  <w:style w:type="paragraph" w:styleId="aa">
    <w:name w:val="footer"/>
    <w:basedOn w:val="a"/>
    <w:link w:val="ab"/>
    <w:unhideWhenUsed/>
    <w:rsid w:val="00C72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2317"/>
    <w:rPr>
      <w:sz w:val="24"/>
      <w:szCs w:val="24"/>
    </w:rPr>
  </w:style>
  <w:style w:type="paragraph" w:styleId="ac">
    <w:name w:val="List Paragraph"/>
    <w:basedOn w:val="a"/>
    <w:uiPriority w:val="34"/>
    <w:qFormat/>
    <w:rsid w:val="00293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«Социальная поддержка инвалидов и участников ВОВ» на 2010 год</vt:lpstr>
    </vt:vector>
  </TitlesOfParts>
  <Company>HOME</Company>
  <LinksUpToDate>false</LinksUpToDate>
  <CharactersWithSpaces>10726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consultantplus://offline/ref=3584BF341FCD3FC903DDEEF759F990AD6A5B2B2911CDB7A4595304589FFF01B4ED59FB08D233AC6Ef019C</vt:lpwstr>
      </vt:variant>
      <vt:variant>
        <vt:lpwstr/>
      </vt:variant>
      <vt:variant>
        <vt:i4>2621540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consultantplus://offline/ref=3584BF341FCD3FC903DDEEF759F990AD6A5B2B2911CDB7A4595304589FFF01B4ED59FB08D233AC64f016C</vt:lpwstr>
      </vt:variant>
      <vt:variant>
        <vt:lpwstr/>
      </vt:variant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consultantplus://offline/ref=4DE7CE64AC2000A14B7D79BAE8D877FA8B386ECA042312D7485CABD4BF08209AB7594AF5FCD263A9i6wEB</vt:lpwstr>
      </vt:variant>
      <vt:variant>
        <vt:lpwstr/>
      </vt:variant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consultantplus://offline/ref=4DE7CE64AC2000A14B7D79BAE8D877FA8B386ECA042312D7485CABD4BF08209AB7594AF5FCD262A6i6w4B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consultantplus://offline/ref=4DE7CE64AC2000A14B7D79BAE8D877FA8B3969C2022012D7485CABD4BF08209AB7594AF5FCD160A9i6wEB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«Социальная поддержка инвалидов и участников ВОВ» на 2010 год</dc:title>
  <dc:creator>xXx</dc:creator>
  <cp:lastModifiedBy>Ditte</cp:lastModifiedBy>
  <cp:revision>10</cp:revision>
  <cp:lastPrinted>2017-05-03T06:18:00Z</cp:lastPrinted>
  <dcterms:created xsi:type="dcterms:W3CDTF">2017-03-22T07:33:00Z</dcterms:created>
  <dcterms:modified xsi:type="dcterms:W3CDTF">2017-07-27T03:03:00Z</dcterms:modified>
</cp:coreProperties>
</file>